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F9568F" w:rsidRDefault="00F9568F">
      <w:pPr>
        <w:rPr>
          <w:rFonts w:ascii="Arial" w:hAnsi="Arial" w:cs="Arial"/>
          <w:b/>
          <w:sz w:val="24"/>
          <w:szCs w:val="24"/>
        </w:rPr>
      </w:pPr>
    </w:p>
    <w:p w:rsidR="00F9568F" w:rsidRDefault="00F9568F">
      <w:pPr>
        <w:pBdr>
          <w:top w:val="single" w:sz="4" w:space="0" w:color="000000"/>
          <w:left w:val="single" w:sz="4" w:space="4" w:color="000000"/>
          <w:bottom w:val="single" w:sz="4" w:space="1" w:color="000000"/>
          <w:right w:val="single" w:sz="4" w:space="4" w:color="000000"/>
        </w:pBdr>
        <w:shd w:val="clear" w:color="auto" w:fill="CCCCCC"/>
        <w:spacing w:before="100" w:after="100" w:line="240" w:lineRule="auto"/>
        <w:jc w:val="center"/>
      </w:pPr>
      <w:r>
        <w:rPr>
          <w:rFonts w:ascii="Arial" w:hAnsi="Arial" w:cs="Arial"/>
          <w:b/>
        </w:rPr>
        <w:t xml:space="preserve">ANEXO I-A - do PO </w:t>
      </w:r>
      <w:r w:rsidR="00BF5BD6">
        <w:rPr>
          <w:rFonts w:ascii="Arial" w:hAnsi="Arial" w:cs="Arial"/>
          <w:b/>
          <w:color w:val="FF0000"/>
        </w:rPr>
        <w:t xml:space="preserve">35/2022 </w:t>
      </w:r>
      <w:r>
        <w:rPr>
          <w:rFonts w:ascii="Arial" w:hAnsi="Arial" w:cs="Arial"/>
          <w:b/>
        </w:rPr>
        <w:t>- ESTUDOS TÉCNICOS PRELIMINARES</w:t>
      </w:r>
    </w:p>
    <w:p w:rsidR="00F9568F" w:rsidRDefault="00F9568F">
      <w:pPr>
        <w:pStyle w:val="Ttulo5"/>
      </w:pPr>
      <w:r>
        <w:t xml:space="preserve"> </w:t>
      </w:r>
    </w:p>
    <w:p w:rsidR="00F9568F" w:rsidRDefault="00F9568F">
      <w:pPr>
        <w:spacing w:after="0" w:line="240" w:lineRule="auto"/>
        <w:jc w:val="center"/>
        <w:rPr>
          <w:rFonts w:ascii="Arial" w:hAnsi="Arial" w:cs="Arial"/>
          <w:b/>
          <w:sz w:val="24"/>
          <w:szCs w:val="24"/>
        </w:rPr>
      </w:pPr>
    </w:p>
    <w:tbl>
      <w:tblPr>
        <w:tblW w:w="0" w:type="auto"/>
        <w:tblInd w:w="-1106" w:type="dxa"/>
        <w:tblLook w:val="0000" w:firstRow="0" w:lastRow="0" w:firstColumn="0" w:lastColumn="0" w:noHBand="0" w:noVBand="0"/>
      </w:tblPr>
      <w:tblGrid>
        <w:gridCol w:w="3156"/>
        <w:gridCol w:w="7011"/>
      </w:tblGrid>
      <w:tr w:rsidR="00F9568F" w:rsidTr="0063732E">
        <w:tc>
          <w:tcPr>
            <w:tcW w:w="11069" w:type="dxa"/>
            <w:gridSpan w:val="2"/>
            <w:tcBorders>
              <w:top w:val="single" w:sz="4" w:space="0" w:color="000000"/>
              <w:left w:val="single" w:sz="4" w:space="0" w:color="000000"/>
              <w:bottom w:val="single" w:sz="4" w:space="0" w:color="000000"/>
              <w:right w:val="single" w:sz="4" w:space="0" w:color="000000"/>
            </w:tcBorders>
            <w:shd w:val="clear" w:color="auto" w:fill="auto"/>
          </w:tcPr>
          <w:p w:rsidR="00F9568F" w:rsidRDefault="00F9568F">
            <w:pPr>
              <w:spacing w:after="0" w:line="240" w:lineRule="auto"/>
            </w:pPr>
            <w:r>
              <w:rPr>
                <w:rFonts w:ascii="Arial" w:hAnsi="Arial" w:cs="Arial"/>
                <w:b/>
                <w:sz w:val="24"/>
                <w:szCs w:val="24"/>
              </w:rPr>
              <w:t xml:space="preserve">ETP </w:t>
            </w:r>
            <w:r w:rsidR="00BF5BD6">
              <w:rPr>
                <w:rFonts w:ascii="Arial" w:hAnsi="Arial" w:cs="Arial"/>
                <w:b/>
                <w:color w:val="FF0000"/>
                <w:sz w:val="24"/>
                <w:szCs w:val="24"/>
              </w:rPr>
              <w:t>35</w:t>
            </w:r>
            <w:bookmarkStart w:id="0" w:name="_GoBack"/>
            <w:bookmarkEnd w:id="0"/>
            <w:r w:rsidR="00975A2A">
              <w:rPr>
                <w:rFonts w:ascii="Arial" w:hAnsi="Arial" w:cs="Arial"/>
                <w:b/>
                <w:sz w:val="24"/>
                <w:szCs w:val="24"/>
              </w:rPr>
              <w:t>/2022</w:t>
            </w:r>
          </w:p>
          <w:p w:rsidR="00F9568F" w:rsidRDefault="00F9568F">
            <w:pPr>
              <w:spacing w:after="0" w:line="240" w:lineRule="auto"/>
              <w:jc w:val="center"/>
              <w:rPr>
                <w:rFonts w:ascii="Arial" w:hAnsi="Arial" w:cs="Arial"/>
                <w:b/>
                <w:sz w:val="24"/>
                <w:szCs w:val="24"/>
              </w:rPr>
            </w:pPr>
          </w:p>
          <w:p w:rsidR="00F9568F" w:rsidRDefault="00F9568F">
            <w:pPr>
              <w:jc w:val="both"/>
            </w:pPr>
            <w:r>
              <w:rPr>
                <w:rFonts w:ascii="Arial" w:hAnsi="Arial" w:cs="Arial"/>
                <w:b/>
                <w:sz w:val="24"/>
                <w:szCs w:val="24"/>
              </w:rPr>
              <w:t xml:space="preserve">OBJETO: </w:t>
            </w:r>
            <w:r>
              <w:rPr>
                <w:rFonts w:ascii="Arial" w:hAnsi="Arial" w:cs="Arial"/>
                <w:sz w:val="24"/>
                <w:szCs w:val="24"/>
              </w:rPr>
              <w:t xml:space="preserve">Contratação de </w:t>
            </w:r>
            <w:r>
              <w:rPr>
                <w:rFonts w:ascii="Arial" w:hAnsi="Arial" w:cs="Arial"/>
                <w:b/>
                <w:sz w:val="24"/>
                <w:szCs w:val="24"/>
              </w:rPr>
              <w:t>serviço de Recepcionistas</w:t>
            </w:r>
            <w:r>
              <w:rPr>
                <w:rFonts w:ascii="Arial" w:hAnsi="Arial" w:cs="Arial"/>
                <w:sz w:val="24"/>
                <w:szCs w:val="24"/>
              </w:rPr>
              <w:t xml:space="preserve"> para o Tribunal Regional do Trabalho da 9ª Região, Polo</w:t>
            </w:r>
            <w:r w:rsidR="00A87979">
              <w:rPr>
                <w:rFonts w:ascii="Arial" w:hAnsi="Arial" w:cs="Arial"/>
                <w:sz w:val="24"/>
                <w:szCs w:val="24"/>
              </w:rPr>
              <w:t>s</w:t>
            </w:r>
            <w:r>
              <w:rPr>
                <w:rFonts w:ascii="Arial" w:hAnsi="Arial" w:cs="Arial"/>
                <w:sz w:val="24"/>
                <w:szCs w:val="24"/>
              </w:rPr>
              <w:t xml:space="preserve"> Curitiba</w:t>
            </w:r>
            <w:r w:rsidR="00A87979">
              <w:rPr>
                <w:rFonts w:ascii="Arial" w:hAnsi="Arial" w:cs="Arial"/>
                <w:sz w:val="24"/>
                <w:szCs w:val="24"/>
              </w:rPr>
              <w:t xml:space="preserve"> e Cascavel</w:t>
            </w:r>
            <w:r>
              <w:rPr>
                <w:rFonts w:ascii="Arial" w:hAnsi="Arial" w:cs="Arial"/>
                <w:sz w:val="24"/>
                <w:szCs w:val="24"/>
              </w:rPr>
              <w:t>, compreendendo o fornecimento de mão de obra e uniformes, conforme condições, quantidades e exigências estabelecidas nos documentos que instruem a presente contratação.</w:t>
            </w:r>
            <w:r>
              <w:t xml:space="preserve"> </w:t>
            </w:r>
          </w:p>
        </w:tc>
      </w:tr>
      <w:tr w:rsidR="00F9568F" w:rsidTr="0063732E">
        <w:trPr>
          <w:trHeight w:val="445"/>
        </w:trPr>
        <w:tc>
          <w:tcPr>
            <w:tcW w:w="110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568F" w:rsidRDefault="00F9568F">
            <w:pPr>
              <w:numPr>
                <w:ilvl w:val="0"/>
                <w:numId w:val="4"/>
              </w:numPr>
              <w:spacing w:after="0" w:line="240" w:lineRule="auto"/>
              <w:jc w:val="center"/>
            </w:pPr>
            <w:r>
              <w:rPr>
                <w:rFonts w:ascii="Arial" w:hAnsi="Arial" w:cs="Arial"/>
                <w:b/>
                <w:sz w:val="24"/>
                <w:szCs w:val="24"/>
              </w:rPr>
              <w:t>Necessidade do demandante:</w:t>
            </w:r>
          </w:p>
        </w:tc>
      </w:tr>
      <w:tr w:rsidR="00F9568F" w:rsidTr="0063732E">
        <w:trPr>
          <w:trHeight w:val="700"/>
        </w:trPr>
        <w:tc>
          <w:tcPr>
            <w:tcW w:w="110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3732E" w:rsidRPr="0063732E" w:rsidRDefault="0063732E" w:rsidP="0063732E">
            <w:pPr>
              <w:suppressAutoHyphens w:val="0"/>
              <w:spacing w:before="100" w:beforeAutospacing="1" w:after="100" w:afterAutospacing="1" w:line="240" w:lineRule="auto"/>
              <w:ind w:left="113"/>
              <w:jc w:val="both"/>
              <w:rPr>
                <w:rFonts w:ascii="Arial" w:eastAsia="Times New Roman" w:hAnsi="Arial" w:cs="Arial"/>
                <w:sz w:val="24"/>
                <w:szCs w:val="24"/>
                <w:lang w:eastAsia="pt-BR"/>
              </w:rPr>
            </w:pPr>
            <w:r w:rsidRPr="0063732E">
              <w:rPr>
                <w:rFonts w:ascii="Arial" w:eastAsia="Times New Roman" w:hAnsi="Arial" w:cs="Arial"/>
                <w:sz w:val="24"/>
                <w:szCs w:val="24"/>
                <w:lang w:eastAsia="pt-BR"/>
              </w:rPr>
              <w:t xml:space="preserve">Conforme o despacho </w:t>
            </w:r>
            <w:r w:rsidRPr="0063732E">
              <w:rPr>
                <w:rFonts w:ascii="Arial" w:eastAsia="Times New Roman" w:hAnsi="Arial" w:cs="Arial"/>
                <w:b/>
                <w:bCs/>
                <w:sz w:val="24"/>
                <w:szCs w:val="24"/>
                <w:lang w:eastAsia="pt-BR"/>
              </w:rPr>
              <w:t>DES ADG 512/2021</w:t>
            </w:r>
            <w:r w:rsidRPr="0063732E">
              <w:rPr>
                <w:rFonts w:ascii="Arial" w:eastAsia="Times New Roman" w:hAnsi="Arial" w:cs="Arial"/>
                <w:sz w:val="24"/>
                <w:szCs w:val="24"/>
                <w:lang w:eastAsia="pt-BR"/>
              </w:rPr>
              <w:t>, proferido em 14-04-2021, em razão da pandemia provocada pelo COVID 19 / CORONAVÍRUS, o Tribunal Regional do Trabalho da 9ª Região readequou a forma de prestação de seus serviços, de forma que a maioria de seu corpo funcional passou a trabalhar remotamente a partir de março de 2020.</w:t>
            </w:r>
          </w:p>
          <w:p w:rsidR="0063732E" w:rsidRPr="0063732E" w:rsidRDefault="0063732E" w:rsidP="0032712C">
            <w:pPr>
              <w:rPr>
                <w:rFonts w:ascii="Arial" w:eastAsia="Times New Roman" w:hAnsi="Arial" w:cs="Arial"/>
                <w:sz w:val="24"/>
                <w:szCs w:val="24"/>
                <w:lang w:eastAsia="pt-BR"/>
              </w:rPr>
            </w:pPr>
            <w:r w:rsidRPr="0063732E">
              <w:rPr>
                <w:rFonts w:ascii="Arial" w:eastAsia="Times New Roman" w:hAnsi="Arial" w:cs="Arial"/>
                <w:sz w:val="24"/>
                <w:szCs w:val="24"/>
                <w:lang w:eastAsia="pt-BR"/>
              </w:rPr>
              <w:t xml:space="preserve">Em decorrência disso, houve uma redução na demanda por serviços terceirizados, incorrendo em ociosidade de alguns postos contratados, tais como os Recepcionistas. Dessa forma, o despacho DES ADG 512/2021 determinou a manutenção de 2 (dois) postos de recepcionistas no Polo Curitiba, </w:t>
            </w:r>
            <w:r w:rsidRPr="00BB1FF5">
              <w:rPr>
                <w:rFonts w:ascii="Arial" w:eastAsia="Times New Roman" w:hAnsi="Arial" w:cs="Arial"/>
                <w:sz w:val="24"/>
                <w:szCs w:val="24"/>
                <w:lang w:eastAsia="pt-BR"/>
              </w:rPr>
              <w:t xml:space="preserve">sendo </w:t>
            </w:r>
            <w:r w:rsidRPr="00BB1FF5">
              <w:rPr>
                <w:rFonts w:ascii="Arial" w:eastAsia="Times New Roman" w:hAnsi="Arial" w:cs="Arial"/>
                <w:bCs/>
                <w:sz w:val="24"/>
                <w:szCs w:val="24"/>
                <w:lang w:eastAsia="pt-BR"/>
              </w:rPr>
              <w:t>1 (um) alocado no Setor de Transportes (Sede-528)</w:t>
            </w:r>
            <w:r w:rsidRPr="00BB1FF5">
              <w:rPr>
                <w:rFonts w:ascii="Arial" w:eastAsia="Times New Roman" w:hAnsi="Arial" w:cs="Arial"/>
                <w:sz w:val="24"/>
                <w:szCs w:val="24"/>
                <w:lang w:eastAsia="pt-BR"/>
              </w:rPr>
              <w:t xml:space="preserve"> e </w:t>
            </w:r>
            <w:r w:rsidRPr="00BB1FF5">
              <w:rPr>
                <w:rFonts w:ascii="Arial" w:eastAsia="Times New Roman" w:hAnsi="Arial" w:cs="Arial"/>
                <w:bCs/>
                <w:sz w:val="24"/>
                <w:szCs w:val="24"/>
                <w:lang w:eastAsia="pt-BR"/>
              </w:rPr>
              <w:t>1 (um) na Vicente Machado 400</w:t>
            </w:r>
            <w:r w:rsidRPr="00BB1FF5">
              <w:rPr>
                <w:rFonts w:ascii="Arial" w:eastAsia="Times New Roman" w:hAnsi="Arial" w:cs="Arial"/>
                <w:sz w:val="24"/>
                <w:szCs w:val="24"/>
                <w:lang w:eastAsia="pt-BR"/>
              </w:rPr>
              <w:t>.</w:t>
            </w:r>
          </w:p>
          <w:p w:rsidR="0063732E" w:rsidRPr="0063732E" w:rsidRDefault="0063732E" w:rsidP="0063732E">
            <w:pPr>
              <w:suppressAutoHyphens w:val="0"/>
              <w:spacing w:before="100" w:beforeAutospacing="1" w:after="100" w:afterAutospacing="1" w:line="240" w:lineRule="auto"/>
              <w:ind w:left="113"/>
              <w:jc w:val="both"/>
              <w:rPr>
                <w:rFonts w:ascii="Arial" w:eastAsia="Times New Roman" w:hAnsi="Arial" w:cs="Arial"/>
                <w:sz w:val="24"/>
                <w:szCs w:val="24"/>
                <w:lang w:eastAsia="pt-BR"/>
              </w:rPr>
            </w:pPr>
            <w:r w:rsidRPr="0063732E">
              <w:rPr>
                <w:rFonts w:ascii="Arial" w:eastAsia="Times New Roman" w:hAnsi="Arial" w:cs="Arial"/>
                <w:sz w:val="24"/>
                <w:szCs w:val="24"/>
                <w:lang w:eastAsia="pt-BR"/>
              </w:rPr>
              <w:t xml:space="preserve">Firmou-se, assim, o </w:t>
            </w:r>
            <w:r w:rsidRPr="0063732E">
              <w:rPr>
                <w:rFonts w:ascii="Arial" w:eastAsia="Times New Roman" w:hAnsi="Arial" w:cs="Arial"/>
                <w:b/>
                <w:bCs/>
                <w:sz w:val="24"/>
                <w:szCs w:val="24"/>
                <w:lang w:eastAsia="pt-BR"/>
              </w:rPr>
              <w:t>Contrato n. 50/2021</w:t>
            </w:r>
            <w:r w:rsidRPr="0063732E">
              <w:rPr>
                <w:rFonts w:ascii="Arial" w:eastAsia="Times New Roman" w:hAnsi="Arial" w:cs="Arial"/>
                <w:sz w:val="24"/>
                <w:szCs w:val="24"/>
                <w:lang w:eastAsia="pt-BR"/>
              </w:rPr>
              <w:t>, para a prestação de serviços de recepcionistas nessas unidades, com prazo de vigência de 12 (doze) meses, contados a partir de 16-11-2021.</w:t>
            </w:r>
          </w:p>
          <w:p w:rsidR="0063732E" w:rsidRPr="0063732E" w:rsidRDefault="0063732E" w:rsidP="0063732E">
            <w:pPr>
              <w:suppressAutoHyphens w:val="0"/>
              <w:spacing w:before="100" w:beforeAutospacing="1" w:after="100" w:afterAutospacing="1" w:line="240" w:lineRule="auto"/>
              <w:ind w:left="113"/>
              <w:jc w:val="both"/>
              <w:rPr>
                <w:rFonts w:ascii="Arial" w:eastAsia="Times New Roman" w:hAnsi="Arial" w:cs="Arial"/>
                <w:sz w:val="24"/>
                <w:szCs w:val="24"/>
                <w:lang w:eastAsia="pt-BR"/>
              </w:rPr>
            </w:pPr>
            <w:r w:rsidRPr="0063732E">
              <w:rPr>
                <w:rFonts w:ascii="Arial" w:eastAsia="Times New Roman" w:hAnsi="Arial" w:cs="Arial"/>
                <w:sz w:val="24"/>
                <w:szCs w:val="24"/>
                <w:lang w:eastAsia="pt-BR"/>
              </w:rPr>
              <w:t xml:space="preserve">Posteriormente, o despacho </w:t>
            </w:r>
            <w:r w:rsidRPr="0063732E">
              <w:rPr>
                <w:rFonts w:ascii="Arial" w:eastAsia="Times New Roman" w:hAnsi="Arial" w:cs="Arial"/>
                <w:b/>
                <w:bCs/>
                <w:sz w:val="24"/>
                <w:szCs w:val="24"/>
                <w:lang w:eastAsia="pt-BR"/>
              </w:rPr>
              <w:t>DES ADG 213/2022</w:t>
            </w:r>
            <w:r w:rsidRPr="0063732E">
              <w:rPr>
                <w:rFonts w:ascii="Arial" w:eastAsia="Times New Roman" w:hAnsi="Arial" w:cs="Arial"/>
                <w:sz w:val="24"/>
                <w:szCs w:val="24"/>
                <w:lang w:eastAsia="pt-BR"/>
              </w:rPr>
              <w:t xml:space="preserve"> considerou os reflexos da retomada das atividades presenciais no fluxo de pessoas nas unidades do Tribunal, alterando consideravelmente a realidade que levou à redução de postos de trabalhadores terceirizados no últim</w:t>
            </w:r>
            <w:r w:rsidR="003C59DC">
              <w:rPr>
                <w:rFonts w:ascii="Arial" w:eastAsia="Times New Roman" w:hAnsi="Arial" w:cs="Arial"/>
                <w:sz w:val="24"/>
                <w:szCs w:val="24"/>
                <w:lang w:eastAsia="pt-BR"/>
              </w:rPr>
              <w:t>o biênio. Determinou, assim, a contratação</w:t>
            </w:r>
            <w:r w:rsidRPr="0063732E">
              <w:rPr>
                <w:rFonts w:ascii="Arial" w:eastAsia="Times New Roman" w:hAnsi="Arial" w:cs="Arial"/>
                <w:sz w:val="24"/>
                <w:szCs w:val="24"/>
                <w:lang w:eastAsia="pt-BR"/>
              </w:rPr>
              <w:t xml:space="preserve"> de postos de recepcionista, sendo </w:t>
            </w:r>
            <w:r w:rsidRPr="0063732E">
              <w:rPr>
                <w:rFonts w:ascii="Arial" w:eastAsia="Times New Roman" w:hAnsi="Arial" w:cs="Arial"/>
                <w:b/>
                <w:bCs/>
                <w:sz w:val="24"/>
                <w:szCs w:val="24"/>
                <w:lang w:eastAsia="pt-BR"/>
              </w:rPr>
              <w:t>1 (um) na localidade Cascavel</w:t>
            </w:r>
            <w:r w:rsidRPr="0063732E">
              <w:rPr>
                <w:rFonts w:ascii="Arial" w:eastAsia="Times New Roman" w:hAnsi="Arial" w:cs="Arial"/>
                <w:sz w:val="24"/>
                <w:szCs w:val="24"/>
                <w:lang w:eastAsia="pt-BR"/>
              </w:rPr>
              <w:t xml:space="preserve">, </w:t>
            </w:r>
            <w:r w:rsidRPr="0063732E">
              <w:rPr>
                <w:rFonts w:ascii="Arial" w:eastAsia="Times New Roman" w:hAnsi="Arial" w:cs="Arial"/>
                <w:b/>
                <w:bCs/>
                <w:sz w:val="24"/>
                <w:szCs w:val="24"/>
                <w:lang w:eastAsia="pt-BR"/>
              </w:rPr>
              <w:t>1 (um) na localidade Ponta Grossa</w:t>
            </w:r>
            <w:r w:rsidRPr="0063732E">
              <w:rPr>
                <w:rFonts w:ascii="Arial" w:eastAsia="Times New Roman" w:hAnsi="Arial" w:cs="Arial"/>
                <w:sz w:val="24"/>
                <w:szCs w:val="24"/>
                <w:lang w:eastAsia="pt-BR"/>
              </w:rPr>
              <w:t xml:space="preserve">, </w:t>
            </w:r>
            <w:r w:rsidRPr="0063732E">
              <w:rPr>
                <w:rFonts w:ascii="Arial" w:eastAsia="Times New Roman" w:hAnsi="Arial" w:cs="Arial"/>
                <w:b/>
                <w:bCs/>
                <w:sz w:val="24"/>
                <w:szCs w:val="24"/>
                <w:lang w:eastAsia="pt-BR"/>
              </w:rPr>
              <w:t>1 (um) na localidade São José dos Pinhais</w:t>
            </w:r>
            <w:r w:rsidRPr="0063732E">
              <w:rPr>
                <w:rFonts w:ascii="Arial" w:eastAsia="Times New Roman" w:hAnsi="Arial" w:cs="Arial"/>
                <w:sz w:val="24"/>
                <w:szCs w:val="24"/>
                <w:lang w:eastAsia="pt-BR"/>
              </w:rPr>
              <w:t xml:space="preserve"> e </w:t>
            </w:r>
            <w:r w:rsidRPr="0063732E">
              <w:rPr>
                <w:rFonts w:ascii="Arial" w:eastAsia="Times New Roman" w:hAnsi="Arial" w:cs="Arial"/>
                <w:b/>
                <w:bCs/>
                <w:sz w:val="24"/>
                <w:szCs w:val="24"/>
                <w:lang w:eastAsia="pt-BR"/>
              </w:rPr>
              <w:t>1 (um) na localidade Curitiba – Recepção do Edifício Sede – 528</w:t>
            </w:r>
            <w:r w:rsidRPr="0063732E">
              <w:rPr>
                <w:rFonts w:ascii="Arial" w:eastAsia="Times New Roman" w:hAnsi="Arial" w:cs="Arial"/>
                <w:sz w:val="24"/>
                <w:szCs w:val="24"/>
                <w:lang w:eastAsia="pt-BR"/>
              </w:rPr>
              <w:t>.</w:t>
            </w:r>
          </w:p>
          <w:p w:rsidR="0063732E" w:rsidRPr="0063732E" w:rsidRDefault="0063732E" w:rsidP="0063732E">
            <w:pPr>
              <w:suppressAutoHyphens w:val="0"/>
              <w:spacing w:before="100" w:beforeAutospacing="1" w:after="100" w:afterAutospacing="1" w:line="240" w:lineRule="auto"/>
              <w:ind w:left="113"/>
              <w:jc w:val="both"/>
              <w:rPr>
                <w:rFonts w:ascii="Arial" w:eastAsia="Times New Roman" w:hAnsi="Arial" w:cs="Arial"/>
                <w:sz w:val="24"/>
                <w:szCs w:val="24"/>
                <w:lang w:eastAsia="pt-BR"/>
              </w:rPr>
            </w:pPr>
            <w:r w:rsidRPr="0063732E">
              <w:rPr>
                <w:rFonts w:ascii="Arial" w:eastAsia="Times New Roman" w:hAnsi="Arial" w:cs="Arial"/>
                <w:sz w:val="24"/>
                <w:szCs w:val="24"/>
                <w:lang w:eastAsia="pt-BR"/>
              </w:rPr>
              <w:t>Em virtude do DES ADG 213/2022, assim, será encaminhada a elaboração de um termo aditivo ao Contrato 50/2021, para o acréscimo de 1 (um) posto de recepcionista na localidade Curitiba - Recepção do Edifício Sede - 528, pelo prazo de 6 (seis) meses, até 15-11-2021.</w:t>
            </w:r>
          </w:p>
          <w:p w:rsidR="0063732E" w:rsidRPr="0063732E" w:rsidRDefault="0063732E" w:rsidP="0063732E">
            <w:pPr>
              <w:suppressAutoHyphens w:val="0"/>
              <w:spacing w:before="100" w:beforeAutospacing="1" w:after="100" w:afterAutospacing="1" w:line="240" w:lineRule="auto"/>
              <w:ind w:left="113"/>
              <w:jc w:val="both"/>
              <w:rPr>
                <w:rFonts w:ascii="Arial" w:eastAsia="Times New Roman" w:hAnsi="Arial" w:cs="Arial"/>
                <w:sz w:val="24"/>
                <w:szCs w:val="24"/>
                <w:lang w:eastAsia="pt-BR"/>
              </w:rPr>
            </w:pPr>
            <w:r w:rsidRPr="0063732E">
              <w:rPr>
                <w:rFonts w:ascii="Arial" w:eastAsia="Times New Roman" w:hAnsi="Arial" w:cs="Arial"/>
                <w:sz w:val="24"/>
                <w:szCs w:val="24"/>
                <w:lang w:eastAsia="pt-BR"/>
              </w:rPr>
              <w:t>A fim de evitar a existência de dois contratos distintos para a prestação de serviços da mesma natureza (recepcionista) para o Tribunal, não haverá prorrogação do Contrato 50/2021. Com efeito, a manutenção de dois contratos para a prestação de serviços terceirizados de recepcionista poderia gerar dificuldades à sua administração.</w:t>
            </w:r>
          </w:p>
          <w:p w:rsidR="0063732E" w:rsidRPr="0063732E" w:rsidRDefault="0063732E" w:rsidP="00A87979">
            <w:pPr>
              <w:suppressAutoHyphens w:val="0"/>
              <w:spacing w:before="100" w:beforeAutospacing="1" w:after="100" w:afterAutospacing="1" w:line="240" w:lineRule="auto"/>
              <w:jc w:val="both"/>
              <w:rPr>
                <w:rFonts w:ascii="Arial" w:eastAsia="Times New Roman" w:hAnsi="Arial" w:cs="Arial"/>
                <w:sz w:val="24"/>
                <w:szCs w:val="24"/>
                <w:lang w:eastAsia="pt-BR"/>
              </w:rPr>
            </w:pPr>
            <w:r w:rsidRPr="0063732E">
              <w:rPr>
                <w:rFonts w:ascii="Arial" w:eastAsia="Times New Roman" w:hAnsi="Arial" w:cs="Arial"/>
                <w:sz w:val="24"/>
                <w:szCs w:val="24"/>
                <w:lang w:eastAsia="pt-BR"/>
              </w:rPr>
              <w:t xml:space="preserve">Sendo assim, será realizado </w:t>
            </w:r>
            <w:r w:rsidRPr="0063732E">
              <w:rPr>
                <w:rFonts w:ascii="Arial" w:eastAsia="Times New Roman" w:hAnsi="Arial" w:cs="Arial"/>
                <w:b/>
                <w:bCs/>
                <w:sz w:val="24"/>
                <w:szCs w:val="24"/>
                <w:lang w:eastAsia="pt-BR"/>
              </w:rPr>
              <w:t>pregão para a contratação de postos de recepcionista</w:t>
            </w:r>
            <w:r w:rsidRPr="0063732E">
              <w:rPr>
                <w:rFonts w:ascii="Arial" w:eastAsia="Times New Roman" w:hAnsi="Arial" w:cs="Arial"/>
                <w:sz w:val="24"/>
                <w:szCs w:val="24"/>
                <w:lang w:eastAsia="pt-BR"/>
              </w:rPr>
              <w:t>, com início dos serviços em:</w:t>
            </w:r>
          </w:p>
          <w:p w:rsidR="0063732E" w:rsidRPr="0063732E" w:rsidRDefault="0063732E" w:rsidP="00A87979">
            <w:pPr>
              <w:suppressAutoHyphens w:val="0"/>
              <w:spacing w:before="100" w:beforeAutospacing="1" w:after="100" w:afterAutospacing="1" w:line="240" w:lineRule="auto"/>
              <w:jc w:val="both"/>
              <w:rPr>
                <w:rFonts w:ascii="Arial" w:eastAsia="Times New Roman" w:hAnsi="Arial" w:cs="Arial"/>
                <w:sz w:val="24"/>
                <w:szCs w:val="24"/>
                <w:lang w:eastAsia="pt-BR"/>
              </w:rPr>
            </w:pPr>
            <w:r w:rsidRPr="0063732E">
              <w:rPr>
                <w:rFonts w:ascii="Arial" w:eastAsia="Times New Roman" w:hAnsi="Arial" w:cs="Arial"/>
                <w:sz w:val="24"/>
                <w:szCs w:val="24"/>
                <w:lang w:eastAsia="pt-BR"/>
              </w:rPr>
              <w:lastRenderedPageBreak/>
              <w:t>a) </w:t>
            </w:r>
            <w:r w:rsidR="00BB1FF5" w:rsidRPr="0063732E">
              <w:rPr>
                <w:rFonts w:ascii="Arial" w:eastAsia="Times New Roman" w:hAnsi="Arial" w:cs="Arial"/>
                <w:sz w:val="24"/>
                <w:szCs w:val="24"/>
                <w:lang w:eastAsia="pt-BR"/>
              </w:rPr>
              <w:t>em 10 (dez) dias após o Tribunal emitir o Termo de Liberação de Início dos Serviços, com relação às unidades de Ponta Grossa, São José dos Pinhais e Cascavel (1 posto em cada uma dessas unidades)</w:t>
            </w:r>
            <w:r w:rsidRPr="0063732E">
              <w:rPr>
                <w:rFonts w:ascii="Arial" w:eastAsia="Times New Roman" w:hAnsi="Arial" w:cs="Arial"/>
                <w:sz w:val="24"/>
                <w:szCs w:val="24"/>
                <w:lang w:eastAsia="pt-BR"/>
              </w:rPr>
              <w:t>;</w:t>
            </w:r>
          </w:p>
          <w:p w:rsidR="00AC30D9" w:rsidRDefault="0063732E" w:rsidP="00BB1FF5">
            <w:pPr>
              <w:suppressAutoHyphens w:val="0"/>
              <w:spacing w:before="100" w:beforeAutospacing="1" w:after="100" w:afterAutospacing="1" w:line="240" w:lineRule="auto"/>
              <w:jc w:val="both"/>
            </w:pPr>
            <w:r w:rsidRPr="0063732E">
              <w:rPr>
                <w:rFonts w:ascii="Arial" w:eastAsia="Times New Roman" w:hAnsi="Arial" w:cs="Arial"/>
                <w:sz w:val="24"/>
                <w:szCs w:val="24"/>
                <w:lang w:eastAsia="pt-BR"/>
              </w:rPr>
              <w:t>b) </w:t>
            </w:r>
            <w:r w:rsidR="00BB1FF5" w:rsidRPr="0063732E">
              <w:rPr>
                <w:rFonts w:ascii="Arial" w:eastAsia="Times New Roman" w:hAnsi="Arial" w:cs="Arial"/>
                <w:sz w:val="24"/>
                <w:szCs w:val="24"/>
                <w:lang w:eastAsia="pt-BR"/>
              </w:rPr>
              <w:t>em 16 de novembro de 2022, com relação às unidades de Curitiba 400 (1 posto) e Curitiba 528 (2 postos)</w:t>
            </w:r>
            <w:r w:rsidRPr="0063732E">
              <w:rPr>
                <w:rFonts w:ascii="Arial" w:eastAsia="Times New Roman" w:hAnsi="Arial" w:cs="Arial"/>
                <w:sz w:val="24"/>
                <w:szCs w:val="24"/>
                <w:lang w:eastAsia="pt-BR"/>
              </w:rPr>
              <w:t>.</w:t>
            </w:r>
          </w:p>
        </w:tc>
      </w:tr>
      <w:tr w:rsidR="00F9568F" w:rsidTr="0063732E">
        <w:trPr>
          <w:trHeight w:val="446"/>
        </w:trPr>
        <w:tc>
          <w:tcPr>
            <w:tcW w:w="11069" w:type="dxa"/>
            <w:gridSpan w:val="2"/>
            <w:tcBorders>
              <w:left w:val="single" w:sz="4" w:space="0" w:color="000000"/>
              <w:bottom w:val="single" w:sz="4" w:space="0" w:color="000000"/>
              <w:right w:val="single" w:sz="4" w:space="0" w:color="000000"/>
            </w:tcBorders>
            <w:shd w:val="clear" w:color="auto" w:fill="auto"/>
            <w:vAlign w:val="center"/>
          </w:tcPr>
          <w:p w:rsidR="00F9568F" w:rsidRDefault="00F9568F">
            <w:pPr>
              <w:widowControl w:val="0"/>
              <w:numPr>
                <w:ilvl w:val="0"/>
                <w:numId w:val="4"/>
              </w:numPr>
              <w:autoSpaceDE w:val="0"/>
              <w:spacing w:after="0" w:line="240" w:lineRule="auto"/>
              <w:jc w:val="center"/>
            </w:pPr>
            <w:r>
              <w:rPr>
                <w:rFonts w:ascii="Arial" w:hAnsi="Arial" w:cs="Arial"/>
                <w:b/>
                <w:sz w:val="24"/>
                <w:szCs w:val="24"/>
              </w:rPr>
              <w:lastRenderedPageBreak/>
              <w:t>Descrição dos Requisitos da contratação</w:t>
            </w:r>
          </w:p>
        </w:tc>
      </w:tr>
      <w:tr w:rsidR="00F9568F" w:rsidTr="0063732E">
        <w:trPr>
          <w:trHeight w:val="1568"/>
        </w:trPr>
        <w:tc>
          <w:tcPr>
            <w:tcW w:w="11069" w:type="dxa"/>
            <w:gridSpan w:val="2"/>
            <w:tcBorders>
              <w:left w:val="single" w:sz="4" w:space="0" w:color="000000"/>
              <w:bottom w:val="single" w:sz="4" w:space="0" w:color="000000"/>
              <w:right w:val="single" w:sz="4" w:space="0" w:color="000000"/>
            </w:tcBorders>
            <w:shd w:val="clear" w:color="auto" w:fill="auto"/>
            <w:vAlign w:val="center"/>
          </w:tcPr>
          <w:p w:rsidR="00F9568F" w:rsidRDefault="00F9568F">
            <w:pPr>
              <w:widowControl w:val="0"/>
              <w:spacing w:after="120"/>
              <w:ind w:firstLine="33"/>
              <w:jc w:val="both"/>
              <w:rPr>
                <w:rFonts w:ascii="Arial" w:hAnsi="Arial" w:cs="Arial"/>
                <w:sz w:val="24"/>
                <w:szCs w:val="24"/>
              </w:rPr>
            </w:pPr>
            <w:r>
              <w:rPr>
                <w:rFonts w:ascii="Arial" w:hAnsi="Arial" w:cs="Arial"/>
                <w:sz w:val="24"/>
                <w:szCs w:val="24"/>
              </w:rPr>
              <w:t>- Os requisitos necessários ao atendimento da necessidade estão no Termo de Referência, em anexo.</w:t>
            </w:r>
          </w:p>
          <w:p w:rsidR="003561CA" w:rsidRPr="003561CA" w:rsidRDefault="003561CA" w:rsidP="003561CA">
            <w:pPr>
              <w:spacing w:after="120"/>
              <w:ind w:left="5"/>
              <w:jc w:val="both"/>
              <w:rPr>
                <w:rFonts w:ascii="Arial" w:hAnsi="Arial" w:cs="Arial"/>
                <w:sz w:val="24"/>
                <w:szCs w:val="24"/>
              </w:rPr>
            </w:pPr>
            <w:r>
              <w:rPr>
                <w:rFonts w:ascii="Arial" w:hAnsi="Arial" w:cs="Arial"/>
                <w:sz w:val="24"/>
                <w:szCs w:val="24"/>
              </w:rPr>
              <w:t xml:space="preserve">- </w:t>
            </w:r>
            <w:r w:rsidRPr="003561CA">
              <w:rPr>
                <w:rFonts w:ascii="Arial" w:hAnsi="Arial" w:cs="Arial"/>
                <w:sz w:val="24"/>
                <w:szCs w:val="24"/>
              </w:rPr>
              <w:t>A Contratada deverá atender, no que couber, os critérios de sustentabilidade ambiental previstos na Resolução nº 310/2021 do Conselho Superior da Justiça do Trabalho, em particular:</w:t>
            </w:r>
          </w:p>
          <w:p w:rsidR="003561CA" w:rsidRPr="00157900" w:rsidRDefault="003561CA" w:rsidP="00157900">
            <w:pPr>
              <w:tabs>
                <w:tab w:val="left" w:pos="2835"/>
              </w:tabs>
              <w:spacing w:after="120"/>
              <w:ind w:left="816" w:firstLine="6"/>
              <w:jc w:val="both"/>
              <w:rPr>
                <w:rFonts w:ascii="Arial" w:hAnsi="Arial" w:cs="Arial"/>
                <w:szCs w:val="24"/>
              </w:rPr>
            </w:pPr>
            <w:r w:rsidRPr="00157900">
              <w:rPr>
                <w:rFonts w:ascii="Arial" w:hAnsi="Arial" w:cs="Arial"/>
                <w:szCs w:val="24"/>
              </w:rPr>
              <w:t>I -  não possuir inscrição no cadastro de empregadores flagrados explorando trabalhadores em condições análogas às de escravo, instituído pela Portaria Interministerial MTPS/MMIRDH n. 04/2016;</w:t>
            </w:r>
          </w:p>
          <w:p w:rsidR="003561CA" w:rsidRPr="00157900" w:rsidRDefault="003561CA" w:rsidP="00157900">
            <w:pPr>
              <w:spacing w:after="120"/>
              <w:ind w:left="816" w:firstLine="6"/>
              <w:jc w:val="both"/>
              <w:rPr>
                <w:rFonts w:ascii="Arial" w:hAnsi="Arial" w:cs="Arial"/>
                <w:szCs w:val="24"/>
              </w:rPr>
            </w:pPr>
            <w:r w:rsidRPr="00157900">
              <w:rPr>
                <w:rFonts w:ascii="Arial" w:hAnsi="Arial" w:cs="Arial"/>
                <w:szCs w:val="24"/>
              </w:rPr>
              <w:t>II - não ter sido condenada (a contratada ou seus dirigentes) por infração às leis de combate à discriminação de raça ou de gênero, ao trabalho infantil e ao trabalho escravo, em afronta ao previsto:</w:t>
            </w:r>
          </w:p>
          <w:p w:rsidR="003561CA" w:rsidRPr="00157900" w:rsidRDefault="003561CA" w:rsidP="00157900">
            <w:pPr>
              <w:tabs>
                <w:tab w:val="left" w:pos="2835"/>
              </w:tabs>
              <w:spacing w:after="120"/>
              <w:ind w:left="816" w:firstLine="6"/>
              <w:jc w:val="both"/>
              <w:rPr>
                <w:rStyle w:val="markedcontent"/>
                <w:rFonts w:ascii="Arial" w:hAnsi="Arial" w:cs="Arial"/>
                <w:szCs w:val="24"/>
              </w:rPr>
            </w:pPr>
            <w:r w:rsidRPr="00157900">
              <w:rPr>
                <w:rStyle w:val="markedcontent"/>
                <w:rFonts w:ascii="Arial" w:hAnsi="Arial" w:cs="Arial"/>
                <w:szCs w:val="24"/>
              </w:rPr>
              <w:t>a) Nos artigos 1º, 3º (inciso IV), 7º (inciso XXXIII) e 170 da Constituição Federal de 1988;</w:t>
            </w:r>
          </w:p>
          <w:p w:rsidR="003561CA" w:rsidRPr="00157900" w:rsidRDefault="003561CA" w:rsidP="00157900">
            <w:pPr>
              <w:tabs>
                <w:tab w:val="left" w:pos="2835"/>
              </w:tabs>
              <w:spacing w:after="120"/>
              <w:ind w:left="816" w:firstLine="6"/>
              <w:jc w:val="both"/>
              <w:rPr>
                <w:rStyle w:val="markedcontent"/>
                <w:rFonts w:ascii="Arial" w:hAnsi="Arial" w:cs="Arial"/>
                <w:szCs w:val="24"/>
              </w:rPr>
            </w:pPr>
            <w:r w:rsidRPr="00157900">
              <w:rPr>
                <w:rStyle w:val="markedcontent"/>
                <w:rFonts w:ascii="Arial" w:hAnsi="Arial" w:cs="Arial"/>
                <w:szCs w:val="24"/>
              </w:rPr>
              <w:t>b) Nos artigos 149, 203 e 207 do Código Penal Brasileiro;</w:t>
            </w:r>
          </w:p>
          <w:p w:rsidR="003561CA" w:rsidRPr="00157900" w:rsidRDefault="003561CA" w:rsidP="00157900">
            <w:pPr>
              <w:tabs>
                <w:tab w:val="left" w:pos="2835"/>
              </w:tabs>
              <w:spacing w:after="120"/>
              <w:ind w:left="816" w:firstLine="6"/>
              <w:jc w:val="both"/>
              <w:rPr>
                <w:rStyle w:val="markedcontent"/>
                <w:rFonts w:ascii="Arial" w:hAnsi="Arial" w:cs="Arial"/>
                <w:szCs w:val="24"/>
              </w:rPr>
            </w:pPr>
            <w:r w:rsidRPr="00157900">
              <w:rPr>
                <w:rStyle w:val="markedcontent"/>
                <w:rFonts w:ascii="Arial" w:hAnsi="Arial" w:cs="Arial"/>
                <w:szCs w:val="24"/>
              </w:rPr>
              <w:t>c) No Decreto n° 5.017/2004 (promulga o Protocolo de Palermo);</w:t>
            </w:r>
          </w:p>
          <w:p w:rsidR="003561CA" w:rsidRPr="00157900" w:rsidRDefault="003561CA" w:rsidP="00157900">
            <w:pPr>
              <w:tabs>
                <w:tab w:val="left" w:pos="2835"/>
              </w:tabs>
              <w:spacing w:after="120"/>
              <w:ind w:left="816" w:firstLine="6"/>
              <w:jc w:val="both"/>
              <w:rPr>
                <w:rStyle w:val="markedcontent"/>
                <w:rFonts w:ascii="Arial" w:hAnsi="Arial" w:cs="Arial"/>
                <w:szCs w:val="24"/>
              </w:rPr>
            </w:pPr>
            <w:r w:rsidRPr="00157900">
              <w:rPr>
                <w:rStyle w:val="markedcontent"/>
                <w:rFonts w:ascii="Arial" w:hAnsi="Arial" w:cs="Arial"/>
                <w:szCs w:val="24"/>
              </w:rPr>
              <w:t>d) Nas Convenções da OIT nº 29 e nº 105;</w:t>
            </w:r>
          </w:p>
          <w:p w:rsidR="003561CA" w:rsidRPr="00157900" w:rsidRDefault="003561CA" w:rsidP="00157900">
            <w:pPr>
              <w:tabs>
                <w:tab w:val="left" w:pos="2835"/>
              </w:tabs>
              <w:spacing w:after="120"/>
              <w:ind w:left="816" w:firstLine="6"/>
              <w:jc w:val="both"/>
              <w:rPr>
                <w:rStyle w:val="markedcontent"/>
                <w:rFonts w:ascii="Arial" w:hAnsi="Arial" w:cs="Arial"/>
                <w:szCs w:val="24"/>
              </w:rPr>
            </w:pPr>
            <w:r w:rsidRPr="00157900">
              <w:rPr>
                <w:rStyle w:val="markedcontent"/>
                <w:rFonts w:ascii="Arial" w:hAnsi="Arial" w:cs="Arial"/>
                <w:szCs w:val="24"/>
              </w:rPr>
              <w:t>e) No Capítulo IV do Título III (Da Proteção do Trabalho do Menor) do Decreto-Lei nº 5.452/1943 (CLT);</w:t>
            </w:r>
          </w:p>
          <w:p w:rsidR="003561CA" w:rsidRPr="00157900" w:rsidRDefault="003561CA" w:rsidP="00157900">
            <w:pPr>
              <w:tabs>
                <w:tab w:val="left" w:pos="2835"/>
              </w:tabs>
              <w:spacing w:after="120"/>
              <w:ind w:left="816" w:firstLine="6"/>
              <w:jc w:val="both"/>
              <w:rPr>
                <w:rStyle w:val="markedcontent"/>
                <w:rFonts w:ascii="Arial" w:hAnsi="Arial" w:cs="Arial"/>
                <w:szCs w:val="24"/>
              </w:rPr>
            </w:pPr>
            <w:r w:rsidRPr="00157900">
              <w:rPr>
                <w:rStyle w:val="markedcontent"/>
                <w:rFonts w:ascii="Arial" w:hAnsi="Arial" w:cs="Arial"/>
                <w:szCs w:val="24"/>
              </w:rPr>
              <w:t xml:space="preserve">f) Nos </w:t>
            </w:r>
            <w:proofErr w:type="spellStart"/>
            <w:r w:rsidRPr="00157900">
              <w:rPr>
                <w:rStyle w:val="markedcontent"/>
                <w:rFonts w:ascii="Arial" w:hAnsi="Arial" w:cs="Arial"/>
                <w:szCs w:val="24"/>
              </w:rPr>
              <w:t>arts</w:t>
            </w:r>
            <w:proofErr w:type="spellEnd"/>
            <w:r w:rsidRPr="00157900">
              <w:rPr>
                <w:rStyle w:val="markedcontent"/>
                <w:rFonts w:ascii="Arial" w:hAnsi="Arial" w:cs="Arial"/>
                <w:szCs w:val="24"/>
              </w:rPr>
              <w:t>. 60 a 69 da Lei nº 8.069/1990 (ECA), que trata do Direito à Profissionalização e à Proteção no Trabalho;</w:t>
            </w:r>
          </w:p>
          <w:p w:rsidR="003561CA" w:rsidRPr="00157900" w:rsidRDefault="003561CA" w:rsidP="00157900">
            <w:pPr>
              <w:spacing w:after="120"/>
              <w:ind w:left="816" w:firstLine="6"/>
              <w:jc w:val="both"/>
              <w:rPr>
                <w:rStyle w:val="markedcontent"/>
                <w:rFonts w:ascii="Arial" w:hAnsi="Arial" w:cs="Arial"/>
                <w:szCs w:val="24"/>
              </w:rPr>
            </w:pPr>
            <w:r w:rsidRPr="00157900">
              <w:rPr>
                <w:rStyle w:val="markedcontent"/>
                <w:rFonts w:ascii="Arial" w:hAnsi="Arial" w:cs="Arial"/>
                <w:szCs w:val="24"/>
              </w:rPr>
              <w:t>g) No Decreto nº 6.481/2008, o qual trata da proibição das piores formas de trabalho infantil e ação imediata para sua eliminação.</w:t>
            </w:r>
          </w:p>
          <w:p w:rsidR="003561CA" w:rsidRPr="003561CA" w:rsidRDefault="003561CA" w:rsidP="003561CA">
            <w:pPr>
              <w:widowControl w:val="0"/>
              <w:spacing w:after="120"/>
              <w:ind w:left="5"/>
              <w:jc w:val="both"/>
              <w:rPr>
                <w:rFonts w:ascii="Arial" w:hAnsi="Arial" w:cs="Arial"/>
                <w:sz w:val="24"/>
                <w:szCs w:val="24"/>
              </w:rPr>
            </w:pPr>
            <w:r>
              <w:rPr>
                <w:rFonts w:ascii="Arial" w:hAnsi="Arial" w:cs="Arial"/>
                <w:sz w:val="24"/>
                <w:szCs w:val="24"/>
              </w:rPr>
              <w:t xml:space="preserve">- </w:t>
            </w:r>
            <w:r w:rsidRPr="003561CA">
              <w:rPr>
                <w:rFonts w:ascii="Arial" w:hAnsi="Arial" w:cs="Arial"/>
                <w:sz w:val="24"/>
                <w:szCs w:val="24"/>
              </w:rPr>
              <w:t>O prazo de vigência do Contrato é de 12 meses, podendo ser prorrogado por interesse das partes até o limite de 60 (sessenta) meses, nos termos da lei 8.666/1993.</w:t>
            </w:r>
          </w:p>
          <w:p w:rsidR="003561CA" w:rsidRPr="003561CA" w:rsidRDefault="003561CA" w:rsidP="003561CA">
            <w:pPr>
              <w:widowControl w:val="0"/>
              <w:spacing w:after="120"/>
              <w:jc w:val="both"/>
              <w:rPr>
                <w:rFonts w:ascii="Arial" w:hAnsi="Arial" w:cs="Arial"/>
                <w:sz w:val="24"/>
                <w:szCs w:val="24"/>
              </w:rPr>
            </w:pPr>
            <w:r>
              <w:rPr>
                <w:rFonts w:ascii="Arial" w:hAnsi="Arial" w:cs="Arial"/>
                <w:sz w:val="24"/>
                <w:szCs w:val="24"/>
              </w:rPr>
              <w:t xml:space="preserve">- </w:t>
            </w:r>
            <w:r w:rsidRPr="003561CA">
              <w:rPr>
                <w:rFonts w:ascii="Arial" w:hAnsi="Arial" w:cs="Arial"/>
                <w:sz w:val="24"/>
                <w:szCs w:val="24"/>
              </w:rPr>
              <w:t>Não haverá necessidade de transferência de conhecimento.</w:t>
            </w:r>
          </w:p>
          <w:p w:rsidR="00F9568F" w:rsidRDefault="003561CA" w:rsidP="0063732E">
            <w:pPr>
              <w:widowControl w:val="0"/>
              <w:spacing w:after="120"/>
              <w:ind w:left="5"/>
              <w:jc w:val="both"/>
            </w:pPr>
            <w:r>
              <w:rPr>
                <w:rFonts w:ascii="Arial" w:hAnsi="Arial" w:cs="Arial"/>
                <w:sz w:val="24"/>
                <w:szCs w:val="24"/>
              </w:rPr>
              <w:t xml:space="preserve">- </w:t>
            </w:r>
            <w:r w:rsidRPr="003561CA">
              <w:rPr>
                <w:rFonts w:ascii="Arial" w:hAnsi="Arial" w:cs="Arial"/>
                <w:sz w:val="24"/>
                <w:szCs w:val="24"/>
              </w:rPr>
              <w:t>A contratação deverá prever no que couber, práticas de sustentabilidade nos termos da Instrução Normativa SLTI/MP nº 01, de 19 de janeiro de 2010.</w:t>
            </w:r>
          </w:p>
        </w:tc>
      </w:tr>
      <w:tr w:rsidR="00F9568F" w:rsidTr="0063732E">
        <w:trPr>
          <w:trHeight w:val="361"/>
        </w:trPr>
        <w:tc>
          <w:tcPr>
            <w:tcW w:w="11069" w:type="dxa"/>
            <w:gridSpan w:val="2"/>
            <w:tcBorders>
              <w:left w:val="single" w:sz="4" w:space="0" w:color="000000"/>
              <w:bottom w:val="single" w:sz="4" w:space="0" w:color="000000"/>
              <w:right w:val="single" w:sz="4" w:space="0" w:color="000000"/>
            </w:tcBorders>
            <w:shd w:val="clear" w:color="auto" w:fill="auto"/>
            <w:vAlign w:val="center"/>
          </w:tcPr>
          <w:p w:rsidR="00F9568F" w:rsidRDefault="00F9568F">
            <w:pPr>
              <w:widowControl w:val="0"/>
              <w:numPr>
                <w:ilvl w:val="0"/>
                <w:numId w:val="4"/>
              </w:numPr>
              <w:autoSpaceDE w:val="0"/>
              <w:spacing w:after="0" w:line="240" w:lineRule="auto"/>
              <w:jc w:val="center"/>
            </w:pPr>
            <w:r>
              <w:rPr>
                <w:rFonts w:ascii="Arial" w:hAnsi="Arial" w:cs="Arial"/>
                <w:b/>
                <w:sz w:val="24"/>
                <w:szCs w:val="24"/>
              </w:rPr>
              <w:t>Levantamento de mercado, com prospecção e análise das alternativas possíveis de soluções</w:t>
            </w:r>
          </w:p>
        </w:tc>
      </w:tr>
      <w:tr w:rsidR="00F9568F" w:rsidTr="0063732E">
        <w:trPr>
          <w:trHeight w:val="1568"/>
        </w:trPr>
        <w:tc>
          <w:tcPr>
            <w:tcW w:w="11069" w:type="dxa"/>
            <w:gridSpan w:val="2"/>
            <w:tcBorders>
              <w:left w:val="single" w:sz="4" w:space="0" w:color="000000"/>
              <w:bottom w:val="single" w:sz="4" w:space="0" w:color="000000"/>
              <w:right w:val="single" w:sz="4" w:space="0" w:color="000000"/>
            </w:tcBorders>
            <w:shd w:val="clear" w:color="auto" w:fill="auto"/>
            <w:vAlign w:val="center"/>
          </w:tcPr>
          <w:p w:rsidR="00F9568F" w:rsidRDefault="00F9568F">
            <w:pPr>
              <w:widowControl w:val="0"/>
              <w:spacing w:line="240" w:lineRule="auto"/>
              <w:jc w:val="both"/>
            </w:pPr>
            <w:r>
              <w:rPr>
                <w:rFonts w:ascii="Arial" w:hAnsi="Arial" w:cs="Arial"/>
                <w:sz w:val="24"/>
                <w:szCs w:val="24"/>
              </w:rPr>
              <w:lastRenderedPageBreak/>
              <w:t>A descentralização das atividades da Administração Pública Federal iniciou-se em 1967 por meio do Decreto-Lei 200. A seu turno, a Lei 5.645/1970 indicou algumas atividades que deveriam ser objeto de execução indireta (parágrafo único do artigo 3º posteriormente revogado pela lei 9.527/1997) e a contratação de serviços continuados com dedicação exclusiva de mão de obra foi regulamentada, de início, pelo Decreto 2.271/1997 e atualmente é disciplinada pelo Decreto nº 9.507/2018 combinado com a Portaria nº 443/2018 do extinto Ministério do Planejamento, Desenvolvimento e Gestão. O artigo 3º, parágrafo 1º desse último Decreto dispõe que no âmbito da Administração Pública Federal as atividades materiais auxiliares, instrumentais ou acessórias aos assuntos que constituem área de competência legal do órgão poderão ser objeto de execução indireta.</w:t>
            </w:r>
            <w:r>
              <w:rPr>
                <w:rFonts w:ascii="Arial" w:hAnsi="Arial" w:cs="Arial"/>
                <w:color w:val="000000"/>
                <w:sz w:val="24"/>
                <w:szCs w:val="24"/>
              </w:rPr>
              <w:t xml:space="preserve"> </w:t>
            </w:r>
          </w:p>
          <w:p w:rsidR="00F9568F" w:rsidRDefault="00F9568F">
            <w:pPr>
              <w:widowControl w:val="0"/>
              <w:spacing w:line="240" w:lineRule="auto"/>
              <w:jc w:val="both"/>
            </w:pPr>
            <w:r>
              <w:rPr>
                <w:rFonts w:ascii="Arial" w:hAnsi="Arial" w:cs="Arial"/>
                <w:sz w:val="24"/>
                <w:szCs w:val="24"/>
              </w:rPr>
              <w:t xml:space="preserve">Finalmente, cabe ressaltar que outros órgãos da Administração Pública adotam soluções semelhantes (contratação de serviços recepcionistas) que o TRT 9 pretende </w:t>
            </w:r>
            <w:r w:rsidR="00157900">
              <w:rPr>
                <w:rFonts w:ascii="Arial" w:hAnsi="Arial" w:cs="Arial"/>
                <w:sz w:val="24"/>
                <w:szCs w:val="24"/>
              </w:rPr>
              <w:t>contratar, como, por exemplo, a Superintendência Federal de Agricultura, Pecuária e Abastecimento em Santa Catarina – SFA/SC, Universidade Tecnológica Federal do Paraná – Campus Dois Vizinhos e Francisco Beltrão, Conselho da Justiça Federal e Tribunal de Contas do Estado do Paraná – TCE/PR.</w:t>
            </w:r>
          </w:p>
          <w:p w:rsidR="00F9568F" w:rsidRDefault="00F9568F">
            <w:pPr>
              <w:widowControl w:val="0"/>
              <w:autoSpaceDE w:val="0"/>
              <w:spacing w:after="0" w:line="240" w:lineRule="auto"/>
              <w:jc w:val="both"/>
            </w:pPr>
            <w:r>
              <w:rPr>
                <w:rFonts w:ascii="Arial" w:hAnsi="Arial" w:cs="Arial"/>
                <w:sz w:val="24"/>
                <w:szCs w:val="24"/>
              </w:rPr>
              <w:t>Em relação às soluções disponíveis para a operacionalização de serviços de recepcionistas, uma contratação por demanda não seria a mais adequada porque as atividades não são sazonais, ao contrário, as necessidades da Corte nessa área são permanentes.</w:t>
            </w:r>
          </w:p>
          <w:p w:rsidR="00F9568F" w:rsidRDefault="00F9568F">
            <w:pPr>
              <w:widowControl w:val="0"/>
              <w:autoSpaceDE w:val="0"/>
              <w:spacing w:after="0" w:line="240" w:lineRule="auto"/>
              <w:ind w:firstLine="33"/>
              <w:jc w:val="both"/>
              <w:rPr>
                <w:rFonts w:ascii="Arial" w:hAnsi="Arial" w:cs="Arial"/>
                <w:sz w:val="24"/>
                <w:szCs w:val="24"/>
              </w:rPr>
            </w:pPr>
          </w:p>
          <w:p w:rsidR="00F9568F" w:rsidRDefault="00F9568F">
            <w:pPr>
              <w:widowControl w:val="0"/>
              <w:autoSpaceDE w:val="0"/>
              <w:spacing w:after="0" w:line="240" w:lineRule="auto"/>
              <w:jc w:val="both"/>
            </w:pPr>
            <w:r>
              <w:rPr>
                <w:rFonts w:ascii="Arial" w:hAnsi="Arial" w:cs="Arial"/>
                <w:sz w:val="24"/>
                <w:szCs w:val="24"/>
              </w:rPr>
              <w:t>Dessa forma, chega-se a uma única solução possível, a nova contratação de postos de Recepcionistas (CBO 4221-05).</w:t>
            </w:r>
          </w:p>
        </w:tc>
      </w:tr>
      <w:tr w:rsidR="00F9568F" w:rsidTr="0063732E">
        <w:trPr>
          <w:trHeight w:val="489"/>
        </w:trPr>
        <w:tc>
          <w:tcPr>
            <w:tcW w:w="11069" w:type="dxa"/>
            <w:gridSpan w:val="2"/>
            <w:tcBorders>
              <w:left w:val="single" w:sz="4" w:space="0" w:color="000000"/>
              <w:bottom w:val="single" w:sz="4" w:space="0" w:color="000000"/>
              <w:right w:val="single" w:sz="4" w:space="0" w:color="000000"/>
            </w:tcBorders>
            <w:shd w:val="clear" w:color="auto" w:fill="auto"/>
            <w:vAlign w:val="center"/>
          </w:tcPr>
          <w:p w:rsidR="00F9568F" w:rsidRDefault="00F9568F">
            <w:pPr>
              <w:widowControl w:val="0"/>
              <w:numPr>
                <w:ilvl w:val="0"/>
                <w:numId w:val="4"/>
              </w:numPr>
              <w:autoSpaceDE w:val="0"/>
              <w:spacing w:after="0" w:line="240" w:lineRule="auto"/>
              <w:jc w:val="center"/>
            </w:pPr>
            <w:r>
              <w:rPr>
                <w:rFonts w:ascii="Arial" w:hAnsi="Arial" w:cs="Arial"/>
                <w:b/>
                <w:sz w:val="24"/>
                <w:szCs w:val="24"/>
              </w:rPr>
              <w:t>Descrição da solução escolhida e justificativa técnico-econômica</w:t>
            </w:r>
          </w:p>
        </w:tc>
      </w:tr>
      <w:tr w:rsidR="00F9568F" w:rsidTr="0063732E">
        <w:trPr>
          <w:trHeight w:val="1568"/>
        </w:trPr>
        <w:tc>
          <w:tcPr>
            <w:tcW w:w="11069" w:type="dxa"/>
            <w:gridSpan w:val="2"/>
            <w:tcBorders>
              <w:left w:val="single" w:sz="4" w:space="0" w:color="000000"/>
              <w:bottom w:val="single" w:sz="4" w:space="0" w:color="000000"/>
              <w:right w:val="single" w:sz="4" w:space="0" w:color="000000"/>
            </w:tcBorders>
            <w:shd w:val="clear" w:color="auto" w:fill="auto"/>
            <w:vAlign w:val="center"/>
          </w:tcPr>
          <w:p w:rsidR="00F9568F" w:rsidRPr="00FD2D2A" w:rsidRDefault="00F9568F">
            <w:pPr>
              <w:widowControl w:val="0"/>
              <w:spacing w:after="120"/>
              <w:jc w:val="both"/>
              <w:rPr>
                <w:rFonts w:ascii="Arial" w:hAnsi="Arial" w:cs="Arial"/>
                <w:sz w:val="24"/>
                <w:szCs w:val="24"/>
              </w:rPr>
            </w:pPr>
            <w:r>
              <w:rPr>
                <w:rFonts w:ascii="Arial" w:hAnsi="Arial" w:cs="Arial"/>
                <w:color w:val="000000"/>
                <w:sz w:val="24"/>
                <w:szCs w:val="24"/>
              </w:rPr>
              <w:t>Com a publicação da E</w:t>
            </w:r>
            <w:r>
              <w:rPr>
                <w:rFonts w:ascii="Arial" w:hAnsi="Arial" w:cs="Arial"/>
                <w:sz w:val="24"/>
                <w:szCs w:val="24"/>
              </w:rPr>
              <w:t>menda Constitucional 95/2016, a nomeação de servidores tornou-se mais difícil, uma vez que nos termos do artigo 109, IV e V do Ato das Disposições Constitucionais Transitórias, está vedada a admissão ou contratação de pessoal a qualquer título, ressalvadas as reposições de cargos de chefia que não acarretem aumento de despesa e aquelas decorrentes de vacâncias de cargos efetivos ou vitalícios, bem como a realização de concurso público, exceto para as reposições de vacâncias. Assim, direcionar servidor para a execução de serviços de recepcionistas impediria a nomeação de outro servidor que poderia atuar diretamente na área j</w:t>
            </w:r>
            <w:r w:rsidRPr="00FD2D2A">
              <w:rPr>
                <w:rFonts w:ascii="Arial" w:hAnsi="Arial" w:cs="Arial"/>
                <w:sz w:val="24"/>
                <w:szCs w:val="24"/>
              </w:rPr>
              <w:t>udiciária (área fim). Essa solução se mostra ainda mais inviável levando em consideração que não há no quadro de pessoal do Tribunal cargos especializados com as atribuições requeridas.</w:t>
            </w:r>
          </w:p>
          <w:p w:rsidR="00FD2D2A" w:rsidRPr="00FD2D2A" w:rsidRDefault="00FD2D2A">
            <w:pPr>
              <w:widowControl w:val="0"/>
              <w:spacing w:after="120"/>
              <w:jc w:val="both"/>
              <w:rPr>
                <w:rFonts w:ascii="Arial" w:hAnsi="Arial" w:cs="Arial"/>
                <w:sz w:val="24"/>
                <w:szCs w:val="24"/>
              </w:rPr>
            </w:pPr>
          </w:p>
          <w:p w:rsidR="00034AD2" w:rsidRDefault="00FD2D2A" w:rsidP="00034AD2">
            <w:pPr>
              <w:widowControl w:val="0"/>
              <w:spacing w:after="120"/>
              <w:jc w:val="both"/>
              <w:rPr>
                <w:rFonts w:ascii="Arial" w:hAnsi="Arial" w:cs="Arial"/>
                <w:sz w:val="24"/>
                <w:szCs w:val="24"/>
              </w:rPr>
            </w:pPr>
            <w:r w:rsidRPr="00FD2D2A">
              <w:rPr>
                <w:rFonts w:ascii="Arial" w:hAnsi="Arial" w:cs="Arial"/>
                <w:sz w:val="24"/>
                <w:szCs w:val="24"/>
              </w:rPr>
              <w:t>T</w:t>
            </w:r>
            <w:r w:rsidR="00034AD2" w:rsidRPr="00FD2D2A">
              <w:rPr>
                <w:rFonts w:ascii="Arial" w:hAnsi="Arial" w:cs="Arial"/>
                <w:sz w:val="24"/>
                <w:szCs w:val="24"/>
              </w:rPr>
              <w:t xml:space="preserve">ampouco seria economicamente viável que o serviço fosse prestado por servidor, posto que o técnico judiciário possui remuneração no valor de R$ 8.501,45, sendo R$ 3.163,07 relativo ao vencimento e R$ 4.428,30 de GAJ além do auxílio-alimentação de R$ 1.013,48. Isso sem considerar o cômputo do auxílio-saúde que pode ser de até R$ 1.013,49 e de vantagens pessoais, tais como, Adicional de Qualificação, bem como há também a despesa de natureza previdenciária a ser desembolsada pelo Tribunal, além da necessidade de substituições para o gozo de férias ou outras ausências legais. </w:t>
            </w:r>
          </w:p>
          <w:p w:rsidR="00F054A0" w:rsidRPr="00FD2D2A" w:rsidRDefault="00F054A0" w:rsidP="00034AD2">
            <w:pPr>
              <w:widowControl w:val="0"/>
              <w:spacing w:after="120"/>
              <w:jc w:val="both"/>
              <w:rPr>
                <w:rFonts w:ascii="Arial" w:hAnsi="Arial" w:cs="Arial"/>
                <w:sz w:val="24"/>
                <w:szCs w:val="24"/>
              </w:rPr>
            </w:pPr>
          </w:p>
          <w:p w:rsidR="00F9568F" w:rsidRDefault="00F9568F">
            <w:pPr>
              <w:autoSpaceDE w:val="0"/>
              <w:spacing w:after="0" w:line="240" w:lineRule="auto"/>
              <w:jc w:val="both"/>
            </w:pPr>
            <w:r w:rsidRPr="00FD2D2A">
              <w:rPr>
                <w:rFonts w:ascii="Arial" w:hAnsi="Arial" w:cs="Arial"/>
                <w:sz w:val="24"/>
                <w:szCs w:val="24"/>
              </w:rPr>
              <w:t>Por isso justifica-se a contratação de empresa especializada na prestação de serviços de recepcionistas, uma vez que economicamente continua sendo mais vantajoso do que a prestação de serviços por servidor do quadro do Tribunal. Além disso, o próprio Decreto 9.507/2018 e Portaria nº 4</w:t>
            </w:r>
            <w:r>
              <w:rPr>
                <w:rFonts w:ascii="Arial" w:hAnsi="Arial" w:cs="Arial"/>
                <w:sz w:val="24"/>
                <w:szCs w:val="24"/>
              </w:rPr>
              <w:t>43/2018 do Ministério do Planejamento, Desenvolvimento e Gestão permitem a terceirização de tais serviços. Solução que visa</w:t>
            </w:r>
            <w:r>
              <w:rPr>
                <w:rFonts w:ascii="Arial" w:hAnsi="Arial" w:cs="Arial"/>
                <w:color w:val="000000"/>
                <w:sz w:val="24"/>
                <w:szCs w:val="24"/>
              </w:rPr>
              <w:t xml:space="preserve"> impedir o crescimento e descentralização a máquina pública, tornando-a mais flexível, dinâmica e economizando recursos orçamentários do Erário.</w:t>
            </w:r>
          </w:p>
          <w:p w:rsidR="00F9568F" w:rsidRDefault="00F9568F">
            <w:pPr>
              <w:widowControl w:val="0"/>
              <w:autoSpaceDE w:val="0"/>
              <w:spacing w:after="0" w:line="240" w:lineRule="auto"/>
              <w:jc w:val="both"/>
              <w:rPr>
                <w:rFonts w:ascii="Arial" w:hAnsi="Arial" w:cs="Arial"/>
                <w:sz w:val="24"/>
                <w:szCs w:val="24"/>
              </w:rPr>
            </w:pPr>
          </w:p>
          <w:p w:rsidR="00F9568F" w:rsidRDefault="00F9568F">
            <w:pPr>
              <w:widowControl w:val="0"/>
              <w:autoSpaceDE w:val="0"/>
              <w:spacing w:after="0" w:line="240" w:lineRule="auto"/>
              <w:jc w:val="both"/>
            </w:pPr>
            <w:r>
              <w:rPr>
                <w:rFonts w:ascii="Arial" w:hAnsi="Arial" w:cs="Arial"/>
                <w:color w:val="000000"/>
                <w:sz w:val="24"/>
                <w:szCs w:val="24"/>
              </w:rPr>
              <w:t xml:space="preserve">Considere-se, ainda, que serviços </w:t>
            </w:r>
            <w:r>
              <w:rPr>
                <w:rFonts w:ascii="Arial" w:hAnsi="Arial" w:cs="Arial"/>
                <w:sz w:val="24"/>
                <w:szCs w:val="24"/>
              </w:rPr>
              <w:t>de recepcionistas</w:t>
            </w:r>
            <w:r>
              <w:rPr>
                <w:rFonts w:ascii="Arial" w:hAnsi="Arial" w:cs="Arial"/>
                <w:color w:val="000000"/>
                <w:sz w:val="24"/>
                <w:szCs w:val="24"/>
              </w:rPr>
              <w:t xml:space="preserve"> com mão de obra residente estão inseridos na gestão dos recursos humanos colocados à disposição do Tribunal, na medida em que os trabalhadores terceirizados são a força de trabalho auxiliar do Poder Judiciário e também estão enquadrados nos recursos orçamentários, uma vez que tal dispêndio deixa de impactar no orçamento de despesa com pessoal, conforme a atual política de reforma fiscal e orçamentária adotada no País, nos termos da Emenda Constitucional 95/16.</w:t>
            </w:r>
          </w:p>
          <w:p w:rsidR="00F9568F" w:rsidRDefault="00F9568F">
            <w:pPr>
              <w:widowControl w:val="0"/>
              <w:autoSpaceDE w:val="0"/>
              <w:spacing w:after="0" w:line="240" w:lineRule="auto"/>
              <w:ind w:firstLine="33"/>
              <w:jc w:val="both"/>
            </w:pPr>
          </w:p>
          <w:p w:rsidR="00F9568F" w:rsidRDefault="00F9568F">
            <w:pPr>
              <w:widowControl w:val="0"/>
              <w:autoSpaceDE w:val="0"/>
              <w:spacing w:after="0" w:line="240" w:lineRule="auto"/>
              <w:jc w:val="both"/>
            </w:pPr>
            <w:r>
              <w:rPr>
                <w:rFonts w:ascii="Arial" w:hAnsi="Arial" w:cs="Arial"/>
                <w:sz w:val="24"/>
                <w:szCs w:val="24"/>
              </w:rPr>
              <w:t>Em suma, entende-se viável a prestação de serviços de recepcionistas por meio de terceirização com dedicação exclusiva, e justifica-se a contratação de empresa especializada na prestação de tais serviços.</w:t>
            </w:r>
          </w:p>
        </w:tc>
      </w:tr>
      <w:tr w:rsidR="00F9568F" w:rsidTr="0063732E">
        <w:trPr>
          <w:trHeight w:val="468"/>
        </w:trPr>
        <w:tc>
          <w:tcPr>
            <w:tcW w:w="11069" w:type="dxa"/>
            <w:gridSpan w:val="2"/>
            <w:tcBorders>
              <w:left w:val="single" w:sz="4" w:space="0" w:color="000000"/>
              <w:bottom w:val="single" w:sz="4" w:space="0" w:color="000000"/>
              <w:right w:val="single" w:sz="4" w:space="0" w:color="000000"/>
            </w:tcBorders>
            <w:shd w:val="clear" w:color="auto" w:fill="auto"/>
            <w:vAlign w:val="center"/>
          </w:tcPr>
          <w:p w:rsidR="00F9568F" w:rsidRDefault="00F9568F">
            <w:pPr>
              <w:widowControl w:val="0"/>
              <w:numPr>
                <w:ilvl w:val="0"/>
                <w:numId w:val="4"/>
              </w:numPr>
              <w:autoSpaceDE w:val="0"/>
              <w:spacing w:after="0" w:line="240" w:lineRule="auto"/>
              <w:jc w:val="center"/>
            </w:pPr>
            <w:r>
              <w:rPr>
                <w:rFonts w:ascii="Arial" w:hAnsi="Arial" w:cs="Arial"/>
                <w:b/>
                <w:sz w:val="24"/>
                <w:szCs w:val="24"/>
              </w:rPr>
              <w:lastRenderedPageBreak/>
              <w:t>Estimativa das quantidades a serem contratadas</w:t>
            </w:r>
          </w:p>
        </w:tc>
      </w:tr>
      <w:tr w:rsidR="00F9568F" w:rsidTr="0063732E">
        <w:trPr>
          <w:trHeight w:val="706"/>
        </w:trPr>
        <w:tc>
          <w:tcPr>
            <w:tcW w:w="11069" w:type="dxa"/>
            <w:gridSpan w:val="2"/>
            <w:tcBorders>
              <w:left w:val="single" w:sz="4" w:space="0" w:color="000000"/>
              <w:bottom w:val="single" w:sz="4" w:space="0" w:color="000000"/>
              <w:right w:val="single" w:sz="4" w:space="0" w:color="000000"/>
            </w:tcBorders>
            <w:shd w:val="clear" w:color="auto" w:fill="auto"/>
            <w:vAlign w:val="center"/>
          </w:tcPr>
          <w:p w:rsidR="00F9568F" w:rsidRDefault="00F9568F">
            <w:pPr>
              <w:widowControl w:val="0"/>
              <w:snapToGrid w:val="0"/>
              <w:spacing w:after="29" w:line="240" w:lineRule="auto"/>
              <w:jc w:val="center"/>
              <w:rPr>
                <w:shd w:val="clear" w:color="auto" w:fill="FFFF00"/>
              </w:rPr>
            </w:pPr>
          </w:p>
          <w:tbl>
            <w:tblPr>
              <w:tblW w:w="10080" w:type="dxa"/>
              <w:tblCellMar>
                <w:left w:w="70" w:type="dxa"/>
                <w:right w:w="70" w:type="dxa"/>
              </w:tblCellMar>
              <w:tblLook w:val="04A0" w:firstRow="1" w:lastRow="0" w:firstColumn="1" w:lastColumn="0" w:noHBand="0" w:noVBand="1"/>
            </w:tblPr>
            <w:tblGrid>
              <w:gridCol w:w="1220"/>
              <w:gridCol w:w="2760"/>
              <w:gridCol w:w="1220"/>
              <w:gridCol w:w="1220"/>
              <w:gridCol w:w="1220"/>
              <w:gridCol w:w="1220"/>
              <w:gridCol w:w="1220"/>
            </w:tblGrid>
            <w:tr w:rsidR="00C81430" w:rsidRPr="00C81430" w:rsidTr="00C81430">
              <w:trPr>
                <w:trHeight w:val="330"/>
              </w:trPr>
              <w:tc>
                <w:tcPr>
                  <w:tcW w:w="10080" w:type="dxa"/>
                  <w:gridSpan w:val="7"/>
                  <w:tcBorders>
                    <w:top w:val="single" w:sz="4" w:space="0" w:color="000000"/>
                    <w:left w:val="single" w:sz="4" w:space="0" w:color="000000"/>
                    <w:bottom w:val="single" w:sz="4" w:space="0" w:color="000000"/>
                    <w:right w:val="single" w:sz="4" w:space="0" w:color="000000"/>
                  </w:tcBorders>
                  <w:shd w:val="clear" w:color="DDDDDD" w:fill="FFFFFF"/>
                  <w:vAlign w:val="center"/>
                  <w:hideMark/>
                </w:tcPr>
                <w:p w:rsidR="00C81430" w:rsidRPr="00C81430" w:rsidRDefault="00C81430" w:rsidP="00C81430">
                  <w:pPr>
                    <w:suppressAutoHyphens w:val="0"/>
                    <w:spacing w:after="0" w:line="240" w:lineRule="auto"/>
                    <w:jc w:val="center"/>
                    <w:rPr>
                      <w:rFonts w:eastAsia="Times New Roman"/>
                      <w:b/>
                      <w:bCs/>
                      <w:color w:val="000000"/>
                      <w:lang w:eastAsia="pt-BR"/>
                    </w:rPr>
                  </w:pPr>
                  <w:bookmarkStart w:id="1" w:name="RANGE!B2:H15"/>
                  <w:r w:rsidRPr="00C81430">
                    <w:rPr>
                      <w:rFonts w:eastAsia="Times New Roman"/>
                      <w:b/>
                      <w:bCs/>
                      <w:color w:val="000000"/>
                      <w:lang w:eastAsia="pt-BR"/>
                    </w:rPr>
                    <w:t>TRIBUNAL REGIONAL DO TRABALHO DA 9ª REGIÃO</w:t>
                  </w:r>
                  <w:bookmarkEnd w:id="1"/>
                </w:p>
              </w:tc>
            </w:tr>
            <w:tr w:rsidR="00C81430" w:rsidRPr="00C81430" w:rsidTr="00C81430">
              <w:trPr>
                <w:trHeight w:val="315"/>
              </w:trPr>
              <w:tc>
                <w:tcPr>
                  <w:tcW w:w="10080" w:type="dxa"/>
                  <w:gridSpan w:val="7"/>
                  <w:tcBorders>
                    <w:top w:val="single" w:sz="4" w:space="0" w:color="000000"/>
                    <w:left w:val="single" w:sz="4" w:space="0" w:color="000000"/>
                    <w:bottom w:val="single" w:sz="4" w:space="0" w:color="000000"/>
                    <w:right w:val="single" w:sz="4" w:space="0" w:color="000000"/>
                  </w:tcBorders>
                  <w:shd w:val="clear" w:color="DDDDDD" w:fill="FFFFFF"/>
                  <w:vAlign w:val="center"/>
                  <w:hideMark/>
                </w:tcPr>
                <w:p w:rsidR="00C81430" w:rsidRPr="00C81430" w:rsidRDefault="00C81430" w:rsidP="00C81430">
                  <w:pPr>
                    <w:suppressAutoHyphens w:val="0"/>
                    <w:spacing w:after="0" w:line="240" w:lineRule="auto"/>
                    <w:jc w:val="center"/>
                    <w:rPr>
                      <w:rFonts w:eastAsia="Times New Roman"/>
                      <w:b/>
                      <w:bCs/>
                      <w:color w:val="000000"/>
                      <w:lang w:eastAsia="pt-BR"/>
                    </w:rPr>
                  </w:pPr>
                  <w:r w:rsidRPr="00C81430">
                    <w:rPr>
                      <w:rFonts w:eastAsia="Times New Roman"/>
                      <w:b/>
                      <w:bCs/>
                      <w:color w:val="000000"/>
                      <w:lang w:eastAsia="pt-BR"/>
                    </w:rPr>
                    <w:t>PLANILHAS DE CUSTO E FORMAÇÃO DE PREÇOS - RECEPCIONISTAS</w:t>
                  </w:r>
                </w:p>
              </w:tc>
            </w:tr>
            <w:tr w:rsidR="00C81430" w:rsidRPr="00C81430" w:rsidTr="00C81430">
              <w:trPr>
                <w:trHeight w:val="675"/>
              </w:trPr>
              <w:tc>
                <w:tcPr>
                  <w:tcW w:w="1220" w:type="dxa"/>
                  <w:tcBorders>
                    <w:top w:val="nil"/>
                    <w:left w:val="single" w:sz="4" w:space="0" w:color="000000"/>
                    <w:bottom w:val="single" w:sz="4" w:space="0" w:color="000000"/>
                    <w:right w:val="single" w:sz="4" w:space="0" w:color="000000"/>
                  </w:tcBorders>
                  <w:shd w:val="clear" w:color="000000" w:fill="FFFFFF"/>
                  <w:vAlign w:val="center"/>
                  <w:hideMark/>
                </w:tcPr>
                <w:p w:rsidR="00C81430" w:rsidRPr="00C81430" w:rsidRDefault="00C81430" w:rsidP="00C81430">
                  <w:pPr>
                    <w:suppressAutoHyphens w:val="0"/>
                    <w:spacing w:after="0" w:line="240" w:lineRule="auto"/>
                    <w:jc w:val="center"/>
                    <w:rPr>
                      <w:rFonts w:eastAsia="Times New Roman"/>
                      <w:b/>
                      <w:bCs/>
                      <w:color w:val="000000"/>
                      <w:lang w:eastAsia="pt-BR"/>
                    </w:rPr>
                  </w:pPr>
                  <w:r w:rsidRPr="00C81430">
                    <w:rPr>
                      <w:rFonts w:eastAsia="Times New Roman"/>
                      <w:b/>
                      <w:bCs/>
                      <w:color w:val="000000"/>
                      <w:lang w:eastAsia="pt-BR"/>
                    </w:rPr>
                    <w:t>Item</w:t>
                  </w:r>
                </w:p>
              </w:tc>
              <w:tc>
                <w:tcPr>
                  <w:tcW w:w="2760" w:type="dxa"/>
                  <w:tcBorders>
                    <w:top w:val="nil"/>
                    <w:left w:val="nil"/>
                    <w:bottom w:val="single" w:sz="4" w:space="0" w:color="000000"/>
                    <w:right w:val="single" w:sz="4" w:space="0" w:color="000000"/>
                  </w:tcBorders>
                  <w:shd w:val="clear" w:color="000000" w:fill="FFFFFF"/>
                  <w:vAlign w:val="center"/>
                  <w:hideMark/>
                </w:tcPr>
                <w:p w:rsidR="00C81430" w:rsidRPr="00C81430" w:rsidRDefault="00C81430" w:rsidP="00C81430">
                  <w:pPr>
                    <w:suppressAutoHyphens w:val="0"/>
                    <w:spacing w:after="0" w:line="240" w:lineRule="auto"/>
                    <w:jc w:val="center"/>
                    <w:rPr>
                      <w:rFonts w:eastAsia="Times New Roman"/>
                      <w:b/>
                      <w:bCs/>
                      <w:color w:val="000000"/>
                      <w:lang w:eastAsia="pt-BR"/>
                    </w:rPr>
                  </w:pPr>
                  <w:r w:rsidRPr="00C81430">
                    <w:rPr>
                      <w:rFonts w:eastAsia="Times New Roman"/>
                      <w:b/>
                      <w:bCs/>
                      <w:color w:val="000000"/>
                      <w:lang w:eastAsia="pt-BR"/>
                    </w:rPr>
                    <w:t>Localidade</w:t>
                  </w:r>
                </w:p>
              </w:tc>
              <w:tc>
                <w:tcPr>
                  <w:tcW w:w="1220" w:type="dxa"/>
                  <w:tcBorders>
                    <w:top w:val="nil"/>
                    <w:left w:val="nil"/>
                    <w:bottom w:val="single" w:sz="4" w:space="0" w:color="000000"/>
                    <w:right w:val="single" w:sz="4" w:space="0" w:color="000000"/>
                  </w:tcBorders>
                  <w:shd w:val="clear" w:color="000000" w:fill="FFFFFF"/>
                  <w:vAlign w:val="center"/>
                  <w:hideMark/>
                </w:tcPr>
                <w:p w:rsidR="00C81430" w:rsidRPr="00C81430" w:rsidRDefault="00C81430" w:rsidP="00C81430">
                  <w:pPr>
                    <w:suppressAutoHyphens w:val="0"/>
                    <w:spacing w:after="0" w:line="240" w:lineRule="auto"/>
                    <w:jc w:val="center"/>
                    <w:rPr>
                      <w:rFonts w:eastAsia="Times New Roman"/>
                      <w:b/>
                      <w:bCs/>
                      <w:color w:val="000000"/>
                      <w:lang w:eastAsia="pt-BR"/>
                    </w:rPr>
                  </w:pPr>
                  <w:proofErr w:type="spellStart"/>
                  <w:r w:rsidRPr="00C81430">
                    <w:rPr>
                      <w:rFonts w:eastAsia="Times New Roman"/>
                      <w:b/>
                      <w:bCs/>
                      <w:color w:val="000000"/>
                      <w:lang w:eastAsia="pt-BR"/>
                    </w:rPr>
                    <w:t>Qtde</w:t>
                  </w:r>
                  <w:proofErr w:type="spellEnd"/>
                </w:p>
              </w:tc>
              <w:tc>
                <w:tcPr>
                  <w:tcW w:w="2440" w:type="dxa"/>
                  <w:gridSpan w:val="2"/>
                  <w:tcBorders>
                    <w:top w:val="single" w:sz="4" w:space="0" w:color="000000"/>
                    <w:left w:val="nil"/>
                    <w:bottom w:val="single" w:sz="4" w:space="0" w:color="000000"/>
                    <w:right w:val="single" w:sz="4" w:space="0" w:color="000000"/>
                  </w:tcBorders>
                  <w:shd w:val="clear" w:color="000000" w:fill="FFFFFF"/>
                  <w:vAlign w:val="center"/>
                  <w:hideMark/>
                </w:tcPr>
                <w:p w:rsidR="00C81430" w:rsidRPr="00C81430" w:rsidRDefault="00C81430" w:rsidP="00C81430">
                  <w:pPr>
                    <w:suppressAutoHyphens w:val="0"/>
                    <w:spacing w:after="0" w:line="240" w:lineRule="auto"/>
                    <w:jc w:val="center"/>
                    <w:rPr>
                      <w:rFonts w:eastAsia="Times New Roman"/>
                      <w:b/>
                      <w:bCs/>
                      <w:color w:val="000000"/>
                      <w:lang w:eastAsia="pt-BR"/>
                    </w:rPr>
                  </w:pPr>
                  <w:r w:rsidRPr="00C81430">
                    <w:rPr>
                      <w:rFonts w:eastAsia="Times New Roman"/>
                      <w:b/>
                      <w:bCs/>
                      <w:color w:val="000000"/>
                      <w:lang w:eastAsia="pt-BR"/>
                    </w:rPr>
                    <w:t>Valor Unitário do Posto (R$)</w:t>
                  </w:r>
                </w:p>
              </w:tc>
              <w:tc>
                <w:tcPr>
                  <w:tcW w:w="2440" w:type="dxa"/>
                  <w:gridSpan w:val="2"/>
                  <w:tcBorders>
                    <w:top w:val="single" w:sz="4" w:space="0" w:color="000000"/>
                    <w:left w:val="nil"/>
                    <w:bottom w:val="single" w:sz="4" w:space="0" w:color="000000"/>
                    <w:right w:val="single" w:sz="4" w:space="0" w:color="000000"/>
                  </w:tcBorders>
                  <w:shd w:val="clear" w:color="000000" w:fill="FFFFFF"/>
                  <w:vAlign w:val="center"/>
                  <w:hideMark/>
                </w:tcPr>
                <w:p w:rsidR="00C81430" w:rsidRPr="00C81430" w:rsidRDefault="00C81430" w:rsidP="00C81430">
                  <w:pPr>
                    <w:suppressAutoHyphens w:val="0"/>
                    <w:spacing w:after="0" w:line="240" w:lineRule="auto"/>
                    <w:jc w:val="center"/>
                    <w:rPr>
                      <w:rFonts w:eastAsia="Times New Roman"/>
                      <w:b/>
                      <w:bCs/>
                      <w:color w:val="000000"/>
                      <w:lang w:eastAsia="pt-BR"/>
                    </w:rPr>
                  </w:pPr>
                  <w:r w:rsidRPr="00C81430">
                    <w:rPr>
                      <w:rFonts w:eastAsia="Times New Roman"/>
                      <w:b/>
                      <w:bCs/>
                      <w:color w:val="000000"/>
                      <w:lang w:eastAsia="pt-BR"/>
                    </w:rPr>
                    <w:t>Valor Mensal Total (R$)</w:t>
                  </w:r>
                </w:p>
              </w:tc>
            </w:tr>
            <w:tr w:rsidR="00C81430" w:rsidRPr="00C81430" w:rsidTr="00C81430">
              <w:trPr>
                <w:trHeight w:val="315"/>
              </w:trPr>
              <w:tc>
                <w:tcPr>
                  <w:tcW w:w="1220" w:type="dxa"/>
                  <w:tcBorders>
                    <w:top w:val="nil"/>
                    <w:left w:val="single" w:sz="4" w:space="0" w:color="000000"/>
                    <w:bottom w:val="single" w:sz="4" w:space="0" w:color="000000"/>
                    <w:right w:val="single" w:sz="4" w:space="0" w:color="000000"/>
                  </w:tcBorders>
                  <w:shd w:val="clear" w:color="000000" w:fill="FFFFFF"/>
                  <w:vAlign w:val="center"/>
                  <w:hideMark/>
                </w:tcPr>
                <w:p w:rsidR="00C81430" w:rsidRPr="00C81430" w:rsidRDefault="00C81430" w:rsidP="00C81430">
                  <w:pPr>
                    <w:suppressAutoHyphens w:val="0"/>
                    <w:spacing w:after="0" w:line="240" w:lineRule="auto"/>
                    <w:jc w:val="center"/>
                    <w:rPr>
                      <w:rFonts w:eastAsia="Times New Roman"/>
                      <w:color w:val="000000"/>
                      <w:lang w:eastAsia="pt-BR"/>
                    </w:rPr>
                  </w:pPr>
                  <w:r w:rsidRPr="00C81430">
                    <w:rPr>
                      <w:rFonts w:eastAsia="Times New Roman"/>
                      <w:color w:val="000000"/>
                      <w:lang w:eastAsia="pt-BR"/>
                    </w:rPr>
                    <w:t>1</w:t>
                  </w:r>
                </w:p>
              </w:tc>
              <w:tc>
                <w:tcPr>
                  <w:tcW w:w="2760" w:type="dxa"/>
                  <w:tcBorders>
                    <w:top w:val="nil"/>
                    <w:left w:val="nil"/>
                    <w:bottom w:val="single" w:sz="4" w:space="0" w:color="000000"/>
                    <w:right w:val="single" w:sz="4" w:space="0" w:color="000000"/>
                  </w:tcBorders>
                  <w:shd w:val="clear" w:color="000000" w:fill="FFFFFF"/>
                  <w:vAlign w:val="center"/>
                  <w:hideMark/>
                </w:tcPr>
                <w:p w:rsidR="00C81430" w:rsidRPr="00C81430" w:rsidRDefault="00C81430" w:rsidP="00C81430">
                  <w:pPr>
                    <w:suppressAutoHyphens w:val="0"/>
                    <w:spacing w:after="0" w:line="240" w:lineRule="auto"/>
                    <w:jc w:val="center"/>
                    <w:rPr>
                      <w:rFonts w:eastAsia="Times New Roman"/>
                      <w:color w:val="000000"/>
                      <w:lang w:eastAsia="pt-BR"/>
                    </w:rPr>
                  </w:pPr>
                  <w:r w:rsidRPr="00C81430">
                    <w:rPr>
                      <w:rFonts w:eastAsia="Times New Roman"/>
                      <w:color w:val="000000"/>
                      <w:lang w:eastAsia="pt-BR"/>
                    </w:rPr>
                    <w:t>Curitiba</w:t>
                  </w:r>
                </w:p>
              </w:tc>
              <w:tc>
                <w:tcPr>
                  <w:tcW w:w="1220" w:type="dxa"/>
                  <w:tcBorders>
                    <w:top w:val="nil"/>
                    <w:left w:val="nil"/>
                    <w:bottom w:val="single" w:sz="4" w:space="0" w:color="000000"/>
                    <w:right w:val="single" w:sz="4" w:space="0" w:color="000000"/>
                  </w:tcBorders>
                  <w:shd w:val="clear" w:color="000000" w:fill="FFFFFF"/>
                  <w:vAlign w:val="center"/>
                  <w:hideMark/>
                </w:tcPr>
                <w:p w:rsidR="00C81430" w:rsidRPr="00C81430" w:rsidRDefault="00C81430" w:rsidP="00C81430">
                  <w:pPr>
                    <w:suppressAutoHyphens w:val="0"/>
                    <w:spacing w:after="0" w:line="240" w:lineRule="auto"/>
                    <w:jc w:val="center"/>
                    <w:rPr>
                      <w:rFonts w:eastAsia="Times New Roman"/>
                      <w:color w:val="000000"/>
                      <w:lang w:eastAsia="pt-BR"/>
                    </w:rPr>
                  </w:pPr>
                  <w:r w:rsidRPr="00C81430">
                    <w:rPr>
                      <w:rFonts w:eastAsia="Times New Roman"/>
                      <w:color w:val="000000"/>
                      <w:lang w:eastAsia="pt-BR"/>
                    </w:rPr>
                    <w:t>3</w:t>
                  </w:r>
                </w:p>
              </w:tc>
              <w:tc>
                <w:tcPr>
                  <w:tcW w:w="2440" w:type="dxa"/>
                  <w:gridSpan w:val="2"/>
                  <w:tcBorders>
                    <w:top w:val="single" w:sz="4" w:space="0" w:color="000000"/>
                    <w:left w:val="nil"/>
                    <w:bottom w:val="single" w:sz="4" w:space="0" w:color="000000"/>
                    <w:right w:val="single" w:sz="4" w:space="0" w:color="000000"/>
                  </w:tcBorders>
                  <w:shd w:val="clear" w:color="000000" w:fill="FFFFFF"/>
                  <w:vAlign w:val="center"/>
                  <w:hideMark/>
                </w:tcPr>
                <w:p w:rsidR="00C81430" w:rsidRPr="00C81430" w:rsidRDefault="00C81430" w:rsidP="00C81430">
                  <w:pPr>
                    <w:suppressAutoHyphens w:val="0"/>
                    <w:spacing w:after="0" w:line="240" w:lineRule="auto"/>
                    <w:jc w:val="center"/>
                    <w:rPr>
                      <w:rFonts w:eastAsia="Times New Roman"/>
                      <w:color w:val="000000"/>
                      <w:lang w:eastAsia="pt-BR"/>
                    </w:rPr>
                  </w:pPr>
                  <w:r w:rsidRPr="00C81430">
                    <w:rPr>
                      <w:rFonts w:eastAsia="Times New Roman"/>
                      <w:color w:val="000000"/>
                      <w:lang w:eastAsia="pt-BR"/>
                    </w:rPr>
                    <w:t xml:space="preserve">                                  4.775,05 </w:t>
                  </w:r>
                </w:p>
              </w:tc>
              <w:tc>
                <w:tcPr>
                  <w:tcW w:w="2440" w:type="dxa"/>
                  <w:gridSpan w:val="2"/>
                  <w:tcBorders>
                    <w:top w:val="single" w:sz="4" w:space="0" w:color="000000"/>
                    <w:left w:val="nil"/>
                    <w:bottom w:val="single" w:sz="4" w:space="0" w:color="000000"/>
                    <w:right w:val="single" w:sz="4" w:space="0" w:color="000000"/>
                  </w:tcBorders>
                  <w:shd w:val="clear" w:color="000000" w:fill="FFFFFF"/>
                  <w:vAlign w:val="center"/>
                  <w:hideMark/>
                </w:tcPr>
                <w:p w:rsidR="00C81430" w:rsidRPr="00C81430" w:rsidRDefault="00C81430" w:rsidP="00C81430">
                  <w:pPr>
                    <w:suppressAutoHyphens w:val="0"/>
                    <w:spacing w:after="0" w:line="240" w:lineRule="auto"/>
                    <w:jc w:val="center"/>
                    <w:rPr>
                      <w:rFonts w:eastAsia="Times New Roman"/>
                      <w:color w:val="000000"/>
                      <w:lang w:eastAsia="pt-BR"/>
                    </w:rPr>
                  </w:pPr>
                  <w:r w:rsidRPr="00C81430">
                    <w:rPr>
                      <w:rFonts w:eastAsia="Times New Roman"/>
                      <w:color w:val="000000"/>
                      <w:lang w:eastAsia="pt-BR"/>
                    </w:rPr>
                    <w:t xml:space="preserve">                                14.325,15 </w:t>
                  </w:r>
                </w:p>
              </w:tc>
            </w:tr>
            <w:tr w:rsidR="00C81430" w:rsidRPr="00C81430" w:rsidTr="00C81430">
              <w:trPr>
                <w:trHeight w:val="315"/>
              </w:trPr>
              <w:tc>
                <w:tcPr>
                  <w:tcW w:w="1220" w:type="dxa"/>
                  <w:tcBorders>
                    <w:top w:val="nil"/>
                    <w:left w:val="single" w:sz="4" w:space="0" w:color="000000"/>
                    <w:bottom w:val="single" w:sz="4" w:space="0" w:color="000000"/>
                    <w:right w:val="single" w:sz="4" w:space="0" w:color="000000"/>
                  </w:tcBorders>
                  <w:shd w:val="clear" w:color="000000" w:fill="FFFFFF"/>
                  <w:vAlign w:val="center"/>
                  <w:hideMark/>
                </w:tcPr>
                <w:p w:rsidR="00C81430" w:rsidRPr="00C81430" w:rsidRDefault="00C81430" w:rsidP="00C81430">
                  <w:pPr>
                    <w:suppressAutoHyphens w:val="0"/>
                    <w:spacing w:after="0" w:line="240" w:lineRule="auto"/>
                    <w:jc w:val="center"/>
                    <w:rPr>
                      <w:rFonts w:eastAsia="Times New Roman"/>
                      <w:color w:val="000000"/>
                      <w:lang w:eastAsia="pt-BR"/>
                    </w:rPr>
                  </w:pPr>
                  <w:r w:rsidRPr="00C81430">
                    <w:rPr>
                      <w:rFonts w:eastAsia="Times New Roman"/>
                      <w:color w:val="000000"/>
                      <w:lang w:eastAsia="pt-BR"/>
                    </w:rPr>
                    <w:t>2</w:t>
                  </w:r>
                </w:p>
              </w:tc>
              <w:tc>
                <w:tcPr>
                  <w:tcW w:w="2760" w:type="dxa"/>
                  <w:tcBorders>
                    <w:top w:val="nil"/>
                    <w:left w:val="nil"/>
                    <w:bottom w:val="single" w:sz="4" w:space="0" w:color="000000"/>
                    <w:right w:val="single" w:sz="4" w:space="0" w:color="000000"/>
                  </w:tcBorders>
                  <w:shd w:val="clear" w:color="000000" w:fill="FFFFFF"/>
                  <w:vAlign w:val="center"/>
                  <w:hideMark/>
                </w:tcPr>
                <w:p w:rsidR="00C81430" w:rsidRPr="00C81430" w:rsidRDefault="00C81430" w:rsidP="00C81430">
                  <w:pPr>
                    <w:suppressAutoHyphens w:val="0"/>
                    <w:spacing w:after="0" w:line="240" w:lineRule="auto"/>
                    <w:jc w:val="center"/>
                    <w:rPr>
                      <w:rFonts w:eastAsia="Times New Roman"/>
                      <w:color w:val="000000"/>
                      <w:lang w:eastAsia="pt-BR"/>
                    </w:rPr>
                  </w:pPr>
                  <w:r w:rsidRPr="00C81430">
                    <w:rPr>
                      <w:rFonts w:eastAsia="Times New Roman"/>
                      <w:color w:val="000000"/>
                      <w:lang w:eastAsia="pt-BR"/>
                    </w:rPr>
                    <w:t>São José dos Pinhais</w:t>
                  </w:r>
                </w:p>
              </w:tc>
              <w:tc>
                <w:tcPr>
                  <w:tcW w:w="1220" w:type="dxa"/>
                  <w:tcBorders>
                    <w:top w:val="nil"/>
                    <w:left w:val="nil"/>
                    <w:bottom w:val="single" w:sz="4" w:space="0" w:color="000000"/>
                    <w:right w:val="single" w:sz="4" w:space="0" w:color="000000"/>
                  </w:tcBorders>
                  <w:shd w:val="clear" w:color="000000" w:fill="FFFFFF"/>
                  <w:vAlign w:val="center"/>
                  <w:hideMark/>
                </w:tcPr>
                <w:p w:rsidR="00C81430" w:rsidRPr="00C81430" w:rsidRDefault="00C81430" w:rsidP="00C81430">
                  <w:pPr>
                    <w:suppressAutoHyphens w:val="0"/>
                    <w:spacing w:after="0" w:line="240" w:lineRule="auto"/>
                    <w:jc w:val="center"/>
                    <w:rPr>
                      <w:rFonts w:eastAsia="Times New Roman"/>
                      <w:color w:val="000000"/>
                      <w:lang w:eastAsia="pt-BR"/>
                    </w:rPr>
                  </w:pPr>
                  <w:r w:rsidRPr="00C81430">
                    <w:rPr>
                      <w:rFonts w:eastAsia="Times New Roman"/>
                      <w:color w:val="000000"/>
                      <w:lang w:eastAsia="pt-BR"/>
                    </w:rPr>
                    <w:t>1</w:t>
                  </w:r>
                </w:p>
              </w:tc>
              <w:tc>
                <w:tcPr>
                  <w:tcW w:w="2440" w:type="dxa"/>
                  <w:gridSpan w:val="2"/>
                  <w:tcBorders>
                    <w:top w:val="single" w:sz="4" w:space="0" w:color="000000"/>
                    <w:left w:val="nil"/>
                    <w:bottom w:val="single" w:sz="4" w:space="0" w:color="000000"/>
                    <w:right w:val="single" w:sz="4" w:space="0" w:color="000000"/>
                  </w:tcBorders>
                  <w:shd w:val="clear" w:color="000000" w:fill="FFFFFF"/>
                  <w:vAlign w:val="center"/>
                  <w:hideMark/>
                </w:tcPr>
                <w:p w:rsidR="00C81430" w:rsidRPr="00C81430" w:rsidRDefault="00C81430" w:rsidP="00C81430">
                  <w:pPr>
                    <w:suppressAutoHyphens w:val="0"/>
                    <w:spacing w:after="0" w:line="240" w:lineRule="auto"/>
                    <w:jc w:val="center"/>
                    <w:rPr>
                      <w:rFonts w:eastAsia="Times New Roman"/>
                      <w:color w:val="000000"/>
                      <w:lang w:eastAsia="pt-BR"/>
                    </w:rPr>
                  </w:pPr>
                  <w:r w:rsidRPr="00C81430">
                    <w:rPr>
                      <w:rFonts w:eastAsia="Times New Roman"/>
                      <w:color w:val="000000"/>
                      <w:lang w:eastAsia="pt-BR"/>
                    </w:rPr>
                    <w:t xml:space="preserve">                                  4.717,80 </w:t>
                  </w:r>
                </w:p>
              </w:tc>
              <w:tc>
                <w:tcPr>
                  <w:tcW w:w="2440" w:type="dxa"/>
                  <w:gridSpan w:val="2"/>
                  <w:tcBorders>
                    <w:top w:val="single" w:sz="4" w:space="0" w:color="000000"/>
                    <w:left w:val="nil"/>
                    <w:bottom w:val="single" w:sz="4" w:space="0" w:color="000000"/>
                    <w:right w:val="single" w:sz="4" w:space="0" w:color="000000"/>
                  </w:tcBorders>
                  <w:shd w:val="clear" w:color="000000" w:fill="FFFFFF"/>
                  <w:vAlign w:val="center"/>
                  <w:hideMark/>
                </w:tcPr>
                <w:p w:rsidR="00C81430" w:rsidRPr="00C81430" w:rsidRDefault="00C81430" w:rsidP="00C81430">
                  <w:pPr>
                    <w:suppressAutoHyphens w:val="0"/>
                    <w:spacing w:after="0" w:line="240" w:lineRule="auto"/>
                    <w:jc w:val="center"/>
                    <w:rPr>
                      <w:rFonts w:eastAsia="Times New Roman"/>
                      <w:color w:val="000000"/>
                      <w:lang w:eastAsia="pt-BR"/>
                    </w:rPr>
                  </w:pPr>
                  <w:r w:rsidRPr="00C81430">
                    <w:rPr>
                      <w:rFonts w:eastAsia="Times New Roman"/>
                      <w:color w:val="000000"/>
                      <w:lang w:eastAsia="pt-BR"/>
                    </w:rPr>
                    <w:t xml:space="preserve">                                  4.717,80 </w:t>
                  </w:r>
                </w:p>
              </w:tc>
            </w:tr>
            <w:tr w:rsidR="00C81430" w:rsidRPr="00C81430" w:rsidTr="00C81430">
              <w:trPr>
                <w:trHeight w:val="315"/>
              </w:trPr>
              <w:tc>
                <w:tcPr>
                  <w:tcW w:w="1220" w:type="dxa"/>
                  <w:tcBorders>
                    <w:top w:val="nil"/>
                    <w:left w:val="single" w:sz="4" w:space="0" w:color="000000"/>
                    <w:bottom w:val="single" w:sz="4" w:space="0" w:color="000000"/>
                    <w:right w:val="single" w:sz="4" w:space="0" w:color="000000"/>
                  </w:tcBorders>
                  <w:shd w:val="clear" w:color="000000" w:fill="FFFFFF"/>
                  <w:vAlign w:val="center"/>
                  <w:hideMark/>
                </w:tcPr>
                <w:p w:rsidR="00C81430" w:rsidRPr="00C81430" w:rsidRDefault="00C81430" w:rsidP="00C81430">
                  <w:pPr>
                    <w:suppressAutoHyphens w:val="0"/>
                    <w:spacing w:after="0" w:line="240" w:lineRule="auto"/>
                    <w:jc w:val="center"/>
                    <w:rPr>
                      <w:rFonts w:eastAsia="Times New Roman"/>
                      <w:color w:val="000000"/>
                      <w:lang w:eastAsia="pt-BR"/>
                    </w:rPr>
                  </w:pPr>
                  <w:r w:rsidRPr="00C81430">
                    <w:rPr>
                      <w:rFonts w:eastAsia="Times New Roman"/>
                      <w:color w:val="000000"/>
                      <w:lang w:eastAsia="pt-BR"/>
                    </w:rPr>
                    <w:t>3</w:t>
                  </w:r>
                </w:p>
              </w:tc>
              <w:tc>
                <w:tcPr>
                  <w:tcW w:w="2760" w:type="dxa"/>
                  <w:tcBorders>
                    <w:top w:val="nil"/>
                    <w:left w:val="nil"/>
                    <w:bottom w:val="single" w:sz="4" w:space="0" w:color="000000"/>
                    <w:right w:val="single" w:sz="4" w:space="0" w:color="000000"/>
                  </w:tcBorders>
                  <w:shd w:val="clear" w:color="000000" w:fill="FFFFFF"/>
                  <w:vAlign w:val="center"/>
                  <w:hideMark/>
                </w:tcPr>
                <w:p w:rsidR="00C81430" w:rsidRPr="00C81430" w:rsidRDefault="00C81430" w:rsidP="00C81430">
                  <w:pPr>
                    <w:suppressAutoHyphens w:val="0"/>
                    <w:spacing w:after="0" w:line="240" w:lineRule="auto"/>
                    <w:jc w:val="center"/>
                    <w:rPr>
                      <w:rFonts w:eastAsia="Times New Roman"/>
                      <w:color w:val="000000"/>
                      <w:lang w:eastAsia="pt-BR"/>
                    </w:rPr>
                  </w:pPr>
                  <w:r w:rsidRPr="00C81430">
                    <w:rPr>
                      <w:rFonts w:eastAsia="Times New Roman"/>
                      <w:color w:val="000000"/>
                      <w:lang w:eastAsia="pt-BR"/>
                    </w:rPr>
                    <w:t>Ponta Grossa</w:t>
                  </w:r>
                </w:p>
              </w:tc>
              <w:tc>
                <w:tcPr>
                  <w:tcW w:w="1220" w:type="dxa"/>
                  <w:tcBorders>
                    <w:top w:val="nil"/>
                    <w:left w:val="nil"/>
                    <w:bottom w:val="single" w:sz="4" w:space="0" w:color="000000"/>
                    <w:right w:val="single" w:sz="4" w:space="0" w:color="000000"/>
                  </w:tcBorders>
                  <w:shd w:val="clear" w:color="000000" w:fill="FFFFFF"/>
                  <w:vAlign w:val="center"/>
                  <w:hideMark/>
                </w:tcPr>
                <w:p w:rsidR="00C81430" w:rsidRPr="00C81430" w:rsidRDefault="00C81430" w:rsidP="00C81430">
                  <w:pPr>
                    <w:suppressAutoHyphens w:val="0"/>
                    <w:spacing w:after="0" w:line="240" w:lineRule="auto"/>
                    <w:jc w:val="center"/>
                    <w:rPr>
                      <w:rFonts w:eastAsia="Times New Roman"/>
                      <w:color w:val="000000"/>
                      <w:lang w:eastAsia="pt-BR"/>
                    </w:rPr>
                  </w:pPr>
                  <w:r w:rsidRPr="00C81430">
                    <w:rPr>
                      <w:rFonts w:eastAsia="Times New Roman"/>
                      <w:color w:val="000000"/>
                      <w:lang w:eastAsia="pt-BR"/>
                    </w:rPr>
                    <w:t>1</w:t>
                  </w:r>
                </w:p>
              </w:tc>
              <w:tc>
                <w:tcPr>
                  <w:tcW w:w="2440" w:type="dxa"/>
                  <w:gridSpan w:val="2"/>
                  <w:tcBorders>
                    <w:top w:val="single" w:sz="4" w:space="0" w:color="000000"/>
                    <w:left w:val="nil"/>
                    <w:bottom w:val="single" w:sz="4" w:space="0" w:color="000000"/>
                    <w:right w:val="single" w:sz="4" w:space="0" w:color="000000"/>
                  </w:tcBorders>
                  <w:shd w:val="clear" w:color="000000" w:fill="FFFFFF"/>
                  <w:vAlign w:val="center"/>
                  <w:hideMark/>
                </w:tcPr>
                <w:p w:rsidR="00C81430" w:rsidRPr="00C81430" w:rsidRDefault="00C81430" w:rsidP="00C81430">
                  <w:pPr>
                    <w:suppressAutoHyphens w:val="0"/>
                    <w:spacing w:after="0" w:line="240" w:lineRule="auto"/>
                    <w:jc w:val="center"/>
                    <w:rPr>
                      <w:rFonts w:eastAsia="Times New Roman"/>
                      <w:color w:val="000000"/>
                      <w:lang w:eastAsia="pt-BR"/>
                    </w:rPr>
                  </w:pPr>
                  <w:r w:rsidRPr="00C81430">
                    <w:rPr>
                      <w:rFonts w:eastAsia="Times New Roman"/>
                      <w:color w:val="000000"/>
                      <w:lang w:eastAsia="pt-BR"/>
                    </w:rPr>
                    <w:t xml:space="preserve">                                  4.775,05 </w:t>
                  </w:r>
                </w:p>
              </w:tc>
              <w:tc>
                <w:tcPr>
                  <w:tcW w:w="2440" w:type="dxa"/>
                  <w:gridSpan w:val="2"/>
                  <w:tcBorders>
                    <w:top w:val="single" w:sz="4" w:space="0" w:color="000000"/>
                    <w:left w:val="nil"/>
                    <w:bottom w:val="single" w:sz="4" w:space="0" w:color="000000"/>
                    <w:right w:val="single" w:sz="4" w:space="0" w:color="000000"/>
                  </w:tcBorders>
                  <w:shd w:val="clear" w:color="000000" w:fill="FFFFFF"/>
                  <w:vAlign w:val="center"/>
                  <w:hideMark/>
                </w:tcPr>
                <w:p w:rsidR="00C81430" w:rsidRPr="00C81430" w:rsidRDefault="00C81430" w:rsidP="00C81430">
                  <w:pPr>
                    <w:suppressAutoHyphens w:val="0"/>
                    <w:spacing w:after="0" w:line="240" w:lineRule="auto"/>
                    <w:jc w:val="center"/>
                    <w:rPr>
                      <w:rFonts w:eastAsia="Times New Roman"/>
                      <w:color w:val="000000"/>
                      <w:lang w:eastAsia="pt-BR"/>
                    </w:rPr>
                  </w:pPr>
                  <w:r w:rsidRPr="00C81430">
                    <w:rPr>
                      <w:rFonts w:eastAsia="Times New Roman"/>
                      <w:color w:val="000000"/>
                      <w:lang w:eastAsia="pt-BR"/>
                    </w:rPr>
                    <w:t xml:space="preserve">                                  4.775,05 </w:t>
                  </w:r>
                </w:p>
              </w:tc>
            </w:tr>
            <w:tr w:rsidR="00C81430" w:rsidRPr="00C81430" w:rsidTr="00C81430">
              <w:trPr>
                <w:trHeight w:val="315"/>
              </w:trPr>
              <w:tc>
                <w:tcPr>
                  <w:tcW w:w="1220" w:type="dxa"/>
                  <w:tcBorders>
                    <w:top w:val="nil"/>
                    <w:left w:val="single" w:sz="4" w:space="0" w:color="000000"/>
                    <w:bottom w:val="single" w:sz="4" w:space="0" w:color="000000"/>
                    <w:right w:val="single" w:sz="4" w:space="0" w:color="000000"/>
                  </w:tcBorders>
                  <w:shd w:val="clear" w:color="000000" w:fill="FFFFFF"/>
                  <w:vAlign w:val="center"/>
                  <w:hideMark/>
                </w:tcPr>
                <w:p w:rsidR="00C81430" w:rsidRPr="00C81430" w:rsidRDefault="00C81430" w:rsidP="00C81430">
                  <w:pPr>
                    <w:suppressAutoHyphens w:val="0"/>
                    <w:spacing w:after="0" w:line="240" w:lineRule="auto"/>
                    <w:jc w:val="center"/>
                    <w:rPr>
                      <w:rFonts w:eastAsia="Times New Roman"/>
                      <w:color w:val="000000"/>
                      <w:lang w:eastAsia="pt-BR"/>
                    </w:rPr>
                  </w:pPr>
                  <w:r w:rsidRPr="00C81430">
                    <w:rPr>
                      <w:rFonts w:eastAsia="Times New Roman"/>
                      <w:color w:val="000000"/>
                      <w:lang w:eastAsia="pt-BR"/>
                    </w:rPr>
                    <w:t>4</w:t>
                  </w:r>
                </w:p>
              </w:tc>
              <w:tc>
                <w:tcPr>
                  <w:tcW w:w="2760" w:type="dxa"/>
                  <w:tcBorders>
                    <w:top w:val="nil"/>
                    <w:left w:val="nil"/>
                    <w:bottom w:val="single" w:sz="4" w:space="0" w:color="000000"/>
                    <w:right w:val="single" w:sz="4" w:space="0" w:color="000000"/>
                  </w:tcBorders>
                  <w:shd w:val="clear" w:color="000000" w:fill="FFFFFF"/>
                  <w:vAlign w:val="center"/>
                  <w:hideMark/>
                </w:tcPr>
                <w:p w:rsidR="00C81430" w:rsidRPr="00C81430" w:rsidRDefault="00C81430" w:rsidP="00C81430">
                  <w:pPr>
                    <w:suppressAutoHyphens w:val="0"/>
                    <w:spacing w:after="0" w:line="240" w:lineRule="auto"/>
                    <w:jc w:val="center"/>
                    <w:rPr>
                      <w:rFonts w:eastAsia="Times New Roman"/>
                      <w:color w:val="000000"/>
                      <w:lang w:eastAsia="pt-BR"/>
                    </w:rPr>
                  </w:pPr>
                  <w:r w:rsidRPr="00C81430">
                    <w:rPr>
                      <w:rFonts w:eastAsia="Times New Roman"/>
                      <w:color w:val="000000"/>
                      <w:lang w:eastAsia="pt-BR"/>
                    </w:rPr>
                    <w:t>Cascavel</w:t>
                  </w:r>
                </w:p>
              </w:tc>
              <w:tc>
                <w:tcPr>
                  <w:tcW w:w="1220" w:type="dxa"/>
                  <w:tcBorders>
                    <w:top w:val="nil"/>
                    <w:left w:val="nil"/>
                    <w:bottom w:val="single" w:sz="4" w:space="0" w:color="000000"/>
                    <w:right w:val="single" w:sz="4" w:space="0" w:color="000000"/>
                  </w:tcBorders>
                  <w:shd w:val="clear" w:color="000000" w:fill="FFFFFF"/>
                  <w:vAlign w:val="center"/>
                  <w:hideMark/>
                </w:tcPr>
                <w:p w:rsidR="00C81430" w:rsidRPr="00C81430" w:rsidRDefault="00C81430" w:rsidP="00C81430">
                  <w:pPr>
                    <w:suppressAutoHyphens w:val="0"/>
                    <w:spacing w:after="0" w:line="240" w:lineRule="auto"/>
                    <w:jc w:val="center"/>
                    <w:rPr>
                      <w:rFonts w:eastAsia="Times New Roman"/>
                      <w:color w:val="000000"/>
                      <w:lang w:eastAsia="pt-BR"/>
                    </w:rPr>
                  </w:pPr>
                  <w:r w:rsidRPr="00C81430">
                    <w:rPr>
                      <w:rFonts w:eastAsia="Times New Roman"/>
                      <w:color w:val="000000"/>
                      <w:lang w:eastAsia="pt-BR"/>
                    </w:rPr>
                    <w:t>1</w:t>
                  </w:r>
                </w:p>
              </w:tc>
              <w:tc>
                <w:tcPr>
                  <w:tcW w:w="2440" w:type="dxa"/>
                  <w:gridSpan w:val="2"/>
                  <w:tcBorders>
                    <w:top w:val="single" w:sz="4" w:space="0" w:color="000000"/>
                    <w:left w:val="nil"/>
                    <w:bottom w:val="single" w:sz="4" w:space="0" w:color="000000"/>
                    <w:right w:val="single" w:sz="4" w:space="0" w:color="000000"/>
                  </w:tcBorders>
                  <w:shd w:val="clear" w:color="000000" w:fill="FFFFFF"/>
                  <w:vAlign w:val="center"/>
                  <w:hideMark/>
                </w:tcPr>
                <w:p w:rsidR="00C81430" w:rsidRPr="00C81430" w:rsidRDefault="00C81430" w:rsidP="00C81430">
                  <w:pPr>
                    <w:suppressAutoHyphens w:val="0"/>
                    <w:spacing w:after="0" w:line="240" w:lineRule="auto"/>
                    <w:jc w:val="center"/>
                    <w:rPr>
                      <w:rFonts w:eastAsia="Times New Roman"/>
                      <w:color w:val="000000"/>
                      <w:lang w:eastAsia="pt-BR"/>
                    </w:rPr>
                  </w:pPr>
                  <w:r w:rsidRPr="00C81430">
                    <w:rPr>
                      <w:rFonts w:eastAsia="Times New Roman"/>
                      <w:color w:val="000000"/>
                      <w:lang w:eastAsia="pt-BR"/>
                    </w:rPr>
                    <w:t xml:space="preserve">                                  4.604,73 </w:t>
                  </w:r>
                </w:p>
              </w:tc>
              <w:tc>
                <w:tcPr>
                  <w:tcW w:w="2440" w:type="dxa"/>
                  <w:gridSpan w:val="2"/>
                  <w:tcBorders>
                    <w:top w:val="single" w:sz="4" w:space="0" w:color="000000"/>
                    <w:left w:val="nil"/>
                    <w:bottom w:val="single" w:sz="4" w:space="0" w:color="000000"/>
                    <w:right w:val="single" w:sz="4" w:space="0" w:color="000000"/>
                  </w:tcBorders>
                  <w:shd w:val="clear" w:color="000000" w:fill="FFFFFF"/>
                  <w:vAlign w:val="center"/>
                  <w:hideMark/>
                </w:tcPr>
                <w:p w:rsidR="00C81430" w:rsidRPr="00C81430" w:rsidRDefault="00C81430" w:rsidP="00C81430">
                  <w:pPr>
                    <w:suppressAutoHyphens w:val="0"/>
                    <w:spacing w:after="0" w:line="240" w:lineRule="auto"/>
                    <w:jc w:val="center"/>
                    <w:rPr>
                      <w:rFonts w:eastAsia="Times New Roman"/>
                      <w:color w:val="000000"/>
                      <w:lang w:eastAsia="pt-BR"/>
                    </w:rPr>
                  </w:pPr>
                  <w:r w:rsidRPr="00C81430">
                    <w:rPr>
                      <w:rFonts w:eastAsia="Times New Roman"/>
                      <w:color w:val="000000"/>
                      <w:lang w:eastAsia="pt-BR"/>
                    </w:rPr>
                    <w:t xml:space="preserve">                                  4.604,73 </w:t>
                  </w:r>
                </w:p>
              </w:tc>
            </w:tr>
            <w:tr w:rsidR="00C81430" w:rsidRPr="00C81430" w:rsidTr="00C81430">
              <w:trPr>
                <w:trHeight w:val="315"/>
              </w:trPr>
              <w:tc>
                <w:tcPr>
                  <w:tcW w:w="3980" w:type="dxa"/>
                  <w:gridSpan w:val="2"/>
                  <w:tcBorders>
                    <w:top w:val="single" w:sz="4" w:space="0" w:color="000000"/>
                    <w:left w:val="single" w:sz="4" w:space="0" w:color="000000"/>
                    <w:bottom w:val="single" w:sz="4" w:space="0" w:color="000000"/>
                    <w:right w:val="single" w:sz="4" w:space="0" w:color="000000"/>
                  </w:tcBorders>
                  <w:shd w:val="clear" w:color="DDDDDD" w:fill="FFFFFF"/>
                  <w:vAlign w:val="center"/>
                  <w:hideMark/>
                </w:tcPr>
                <w:p w:rsidR="00C81430" w:rsidRPr="00C81430" w:rsidRDefault="00C81430" w:rsidP="00C81430">
                  <w:pPr>
                    <w:suppressAutoHyphens w:val="0"/>
                    <w:spacing w:after="0" w:line="240" w:lineRule="auto"/>
                    <w:jc w:val="center"/>
                    <w:rPr>
                      <w:rFonts w:eastAsia="Times New Roman"/>
                      <w:b/>
                      <w:bCs/>
                      <w:color w:val="000000"/>
                      <w:lang w:eastAsia="pt-BR"/>
                    </w:rPr>
                  </w:pPr>
                  <w:r w:rsidRPr="00C81430">
                    <w:rPr>
                      <w:rFonts w:eastAsia="Times New Roman"/>
                      <w:b/>
                      <w:bCs/>
                      <w:color w:val="000000"/>
                      <w:lang w:eastAsia="pt-BR"/>
                    </w:rPr>
                    <w:t xml:space="preserve">Valor Mensal </w:t>
                  </w:r>
                </w:p>
              </w:tc>
              <w:tc>
                <w:tcPr>
                  <w:tcW w:w="1220" w:type="dxa"/>
                  <w:tcBorders>
                    <w:top w:val="nil"/>
                    <w:left w:val="nil"/>
                    <w:bottom w:val="single" w:sz="4" w:space="0" w:color="000000"/>
                    <w:right w:val="single" w:sz="4" w:space="0" w:color="000000"/>
                  </w:tcBorders>
                  <w:shd w:val="clear" w:color="DDDDDD" w:fill="FFFFFF"/>
                  <w:vAlign w:val="center"/>
                  <w:hideMark/>
                </w:tcPr>
                <w:p w:rsidR="00C81430" w:rsidRPr="00C81430" w:rsidRDefault="00C81430" w:rsidP="00C81430">
                  <w:pPr>
                    <w:suppressAutoHyphens w:val="0"/>
                    <w:spacing w:after="0" w:line="240" w:lineRule="auto"/>
                    <w:jc w:val="center"/>
                    <w:rPr>
                      <w:rFonts w:eastAsia="Times New Roman"/>
                      <w:b/>
                      <w:bCs/>
                      <w:color w:val="000000"/>
                      <w:lang w:eastAsia="pt-BR"/>
                    </w:rPr>
                  </w:pPr>
                  <w:r w:rsidRPr="00C81430">
                    <w:rPr>
                      <w:rFonts w:eastAsia="Times New Roman"/>
                      <w:b/>
                      <w:bCs/>
                      <w:color w:val="000000"/>
                      <w:lang w:eastAsia="pt-BR"/>
                    </w:rPr>
                    <w:t>6</w:t>
                  </w:r>
                </w:p>
              </w:tc>
              <w:tc>
                <w:tcPr>
                  <w:tcW w:w="2440" w:type="dxa"/>
                  <w:gridSpan w:val="2"/>
                  <w:tcBorders>
                    <w:top w:val="single" w:sz="4" w:space="0" w:color="000000"/>
                    <w:left w:val="nil"/>
                    <w:bottom w:val="single" w:sz="4" w:space="0" w:color="000000"/>
                    <w:right w:val="single" w:sz="4" w:space="0" w:color="000000"/>
                  </w:tcBorders>
                  <w:shd w:val="clear" w:color="DDDDDD" w:fill="FFFFFF"/>
                  <w:vAlign w:val="center"/>
                  <w:hideMark/>
                </w:tcPr>
                <w:p w:rsidR="00C81430" w:rsidRPr="00C81430" w:rsidRDefault="00C81430" w:rsidP="00C81430">
                  <w:pPr>
                    <w:suppressAutoHyphens w:val="0"/>
                    <w:spacing w:after="0" w:line="240" w:lineRule="auto"/>
                    <w:jc w:val="center"/>
                    <w:rPr>
                      <w:rFonts w:eastAsia="Times New Roman"/>
                      <w:b/>
                      <w:bCs/>
                      <w:color w:val="000000"/>
                      <w:lang w:eastAsia="pt-BR"/>
                    </w:rPr>
                  </w:pPr>
                  <w:r w:rsidRPr="00C81430">
                    <w:rPr>
                      <w:rFonts w:eastAsia="Times New Roman"/>
                      <w:b/>
                      <w:bCs/>
                      <w:color w:val="000000"/>
                      <w:lang w:eastAsia="pt-BR"/>
                    </w:rPr>
                    <w:t xml:space="preserve"> - </w:t>
                  </w:r>
                </w:p>
              </w:tc>
              <w:tc>
                <w:tcPr>
                  <w:tcW w:w="2440" w:type="dxa"/>
                  <w:gridSpan w:val="2"/>
                  <w:tcBorders>
                    <w:top w:val="single" w:sz="4" w:space="0" w:color="000000"/>
                    <w:left w:val="nil"/>
                    <w:bottom w:val="single" w:sz="4" w:space="0" w:color="000000"/>
                    <w:right w:val="single" w:sz="4" w:space="0" w:color="000000"/>
                  </w:tcBorders>
                  <w:shd w:val="clear" w:color="DDDDDD" w:fill="FFFFFF"/>
                  <w:vAlign w:val="center"/>
                  <w:hideMark/>
                </w:tcPr>
                <w:p w:rsidR="00C81430" w:rsidRPr="00C81430" w:rsidRDefault="00C81430" w:rsidP="00C81430">
                  <w:pPr>
                    <w:suppressAutoHyphens w:val="0"/>
                    <w:spacing w:after="0" w:line="240" w:lineRule="auto"/>
                    <w:jc w:val="center"/>
                    <w:rPr>
                      <w:rFonts w:eastAsia="Times New Roman"/>
                      <w:b/>
                      <w:bCs/>
                      <w:color w:val="000000"/>
                      <w:lang w:eastAsia="pt-BR"/>
                    </w:rPr>
                  </w:pPr>
                  <w:r w:rsidRPr="00C81430">
                    <w:rPr>
                      <w:rFonts w:eastAsia="Times New Roman"/>
                      <w:b/>
                      <w:bCs/>
                      <w:color w:val="000000"/>
                      <w:lang w:eastAsia="pt-BR"/>
                    </w:rPr>
                    <w:t xml:space="preserve">                                28.422,73 </w:t>
                  </w:r>
                </w:p>
              </w:tc>
            </w:tr>
            <w:tr w:rsidR="00C81430" w:rsidRPr="00C81430" w:rsidTr="00C81430">
              <w:trPr>
                <w:trHeight w:val="315"/>
              </w:trPr>
              <w:tc>
                <w:tcPr>
                  <w:tcW w:w="7640" w:type="dxa"/>
                  <w:gridSpan w:val="5"/>
                  <w:tcBorders>
                    <w:top w:val="single" w:sz="4" w:space="0" w:color="000000"/>
                    <w:left w:val="single" w:sz="4" w:space="0" w:color="000000"/>
                    <w:bottom w:val="single" w:sz="4" w:space="0" w:color="000000"/>
                    <w:right w:val="single" w:sz="4" w:space="0" w:color="000000"/>
                  </w:tcBorders>
                  <w:shd w:val="clear" w:color="DDDDDD" w:fill="FFFFFF"/>
                  <w:vAlign w:val="center"/>
                  <w:hideMark/>
                </w:tcPr>
                <w:p w:rsidR="00C81430" w:rsidRPr="00C81430" w:rsidRDefault="00C81430" w:rsidP="00C81430">
                  <w:pPr>
                    <w:suppressAutoHyphens w:val="0"/>
                    <w:spacing w:after="0" w:line="240" w:lineRule="auto"/>
                    <w:jc w:val="center"/>
                    <w:rPr>
                      <w:rFonts w:eastAsia="Times New Roman"/>
                      <w:b/>
                      <w:bCs/>
                      <w:color w:val="000000"/>
                      <w:lang w:eastAsia="pt-BR"/>
                    </w:rPr>
                  </w:pPr>
                  <w:r w:rsidRPr="00C81430">
                    <w:rPr>
                      <w:rFonts w:eastAsia="Times New Roman"/>
                      <w:b/>
                      <w:bCs/>
                      <w:color w:val="000000"/>
                      <w:lang w:eastAsia="pt-BR"/>
                    </w:rPr>
                    <w:t>Total Anual (valor mensal da mão-de-obra x 12 meses)</w:t>
                  </w:r>
                </w:p>
              </w:tc>
              <w:tc>
                <w:tcPr>
                  <w:tcW w:w="2440" w:type="dxa"/>
                  <w:gridSpan w:val="2"/>
                  <w:tcBorders>
                    <w:top w:val="single" w:sz="4" w:space="0" w:color="000000"/>
                    <w:left w:val="nil"/>
                    <w:bottom w:val="single" w:sz="4" w:space="0" w:color="000000"/>
                    <w:right w:val="single" w:sz="4" w:space="0" w:color="000000"/>
                  </w:tcBorders>
                  <w:shd w:val="clear" w:color="DDDDDD" w:fill="FFFFFF"/>
                  <w:vAlign w:val="center"/>
                  <w:hideMark/>
                </w:tcPr>
                <w:p w:rsidR="00C81430" w:rsidRPr="00C81430" w:rsidRDefault="00C81430" w:rsidP="00C81430">
                  <w:pPr>
                    <w:suppressAutoHyphens w:val="0"/>
                    <w:spacing w:after="0" w:line="240" w:lineRule="auto"/>
                    <w:jc w:val="center"/>
                    <w:rPr>
                      <w:rFonts w:eastAsia="Times New Roman"/>
                      <w:b/>
                      <w:bCs/>
                      <w:color w:val="000000"/>
                      <w:lang w:eastAsia="pt-BR"/>
                    </w:rPr>
                  </w:pPr>
                  <w:r w:rsidRPr="00C81430">
                    <w:rPr>
                      <w:rFonts w:eastAsia="Times New Roman"/>
                      <w:b/>
                      <w:bCs/>
                      <w:color w:val="000000"/>
                      <w:lang w:eastAsia="pt-BR"/>
                    </w:rPr>
                    <w:t xml:space="preserve">                              341.072,76 </w:t>
                  </w:r>
                </w:p>
              </w:tc>
            </w:tr>
            <w:tr w:rsidR="00C81430" w:rsidRPr="00C81430" w:rsidTr="00C81430">
              <w:trPr>
                <w:trHeight w:val="300"/>
              </w:trPr>
              <w:tc>
                <w:tcPr>
                  <w:tcW w:w="1220" w:type="dxa"/>
                  <w:tcBorders>
                    <w:top w:val="nil"/>
                    <w:left w:val="nil"/>
                    <w:bottom w:val="nil"/>
                    <w:right w:val="nil"/>
                  </w:tcBorders>
                  <w:shd w:val="clear" w:color="000000" w:fill="FFFFFF"/>
                  <w:vAlign w:val="center"/>
                  <w:hideMark/>
                </w:tcPr>
                <w:p w:rsidR="00C81430" w:rsidRPr="00C81430" w:rsidRDefault="00C81430" w:rsidP="00C81430">
                  <w:pPr>
                    <w:suppressAutoHyphens w:val="0"/>
                    <w:spacing w:after="0" w:line="240" w:lineRule="auto"/>
                    <w:jc w:val="center"/>
                    <w:rPr>
                      <w:rFonts w:eastAsia="Times New Roman"/>
                      <w:color w:val="000000"/>
                      <w:lang w:eastAsia="pt-BR"/>
                    </w:rPr>
                  </w:pPr>
                  <w:r w:rsidRPr="00C81430">
                    <w:rPr>
                      <w:rFonts w:eastAsia="Times New Roman"/>
                      <w:color w:val="000000"/>
                      <w:lang w:eastAsia="pt-BR"/>
                    </w:rPr>
                    <w:t> </w:t>
                  </w:r>
                </w:p>
              </w:tc>
              <w:tc>
                <w:tcPr>
                  <w:tcW w:w="2760" w:type="dxa"/>
                  <w:tcBorders>
                    <w:top w:val="nil"/>
                    <w:left w:val="nil"/>
                    <w:bottom w:val="nil"/>
                    <w:right w:val="nil"/>
                  </w:tcBorders>
                  <w:shd w:val="clear" w:color="000000" w:fill="FFFFFF"/>
                  <w:vAlign w:val="center"/>
                  <w:hideMark/>
                </w:tcPr>
                <w:p w:rsidR="00C81430" w:rsidRPr="00C81430" w:rsidRDefault="00C81430" w:rsidP="00C81430">
                  <w:pPr>
                    <w:suppressAutoHyphens w:val="0"/>
                    <w:spacing w:after="0" w:line="240" w:lineRule="auto"/>
                    <w:jc w:val="center"/>
                    <w:rPr>
                      <w:rFonts w:eastAsia="Times New Roman"/>
                      <w:color w:val="000000"/>
                      <w:lang w:eastAsia="pt-BR"/>
                    </w:rPr>
                  </w:pPr>
                  <w:r w:rsidRPr="00C81430">
                    <w:rPr>
                      <w:rFonts w:eastAsia="Times New Roman"/>
                      <w:color w:val="000000"/>
                      <w:lang w:eastAsia="pt-BR"/>
                    </w:rPr>
                    <w:t> </w:t>
                  </w:r>
                </w:p>
              </w:tc>
              <w:tc>
                <w:tcPr>
                  <w:tcW w:w="1220" w:type="dxa"/>
                  <w:tcBorders>
                    <w:top w:val="nil"/>
                    <w:left w:val="nil"/>
                    <w:bottom w:val="nil"/>
                    <w:right w:val="nil"/>
                  </w:tcBorders>
                  <w:shd w:val="clear" w:color="000000" w:fill="FFFFFF"/>
                  <w:vAlign w:val="center"/>
                  <w:hideMark/>
                </w:tcPr>
                <w:p w:rsidR="00C81430" w:rsidRPr="00C81430" w:rsidRDefault="00C81430" w:rsidP="00C81430">
                  <w:pPr>
                    <w:suppressAutoHyphens w:val="0"/>
                    <w:spacing w:after="0" w:line="240" w:lineRule="auto"/>
                    <w:jc w:val="center"/>
                    <w:rPr>
                      <w:rFonts w:eastAsia="Times New Roman"/>
                      <w:color w:val="000000"/>
                      <w:lang w:eastAsia="pt-BR"/>
                    </w:rPr>
                  </w:pPr>
                  <w:r w:rsidRPr="00C81430">
                    <w:rPr>
                      <w:rFonts w:eastAsia="Times New Roman"/>
                      <w:color w:val="000000"/>
                      <w:lang w:eastAsia="pt-BR"/>
                    </w:rPr>
                    <w:t> </w:t>
                  </w:r>
                </w:p>
              </w:tc>
              <w:tc>
                <w:tcPr>
                  <w:tcW w:w="1220" w:type="dxa"/>
                  <w:tcBorders>
                    <w:top w:val="nil"/>
                    <w:left w:val="nil"/>
                    <w:bottom w:val="nil"/>
                    <w:right w:val="nil"/>
                  </w:tcBorders>
                  <w:shd w:val="clear" w:color="000000" w:fill="FFFFFF"/>
                  <w:vAlign w:val="center"/>
                  <w:hideMark/>
                </w:tcPr>
                <w:p w:rsidR="00C81430" w:rsidRPr="00C81430" w:rsidRDefault="00C81430" w:rsidP="00C81430">
                  <w:pPr>
                    <w:suppressAutoHyphens w:val="0"/>
                    <w:spacing w:after="0" w:line="240" w:lineRule="auto"/>
                    <w:jc w:val="center"/>
                    <w:rPr>
                      <w:rFonts w:eastAsia="Times New Roman"/>
                      <w:color w:val="000000"/>
                      <w:lang w:eastAsia="pt-BR"/>
                    </w:rPr>
                  </w:pPr>
                  <w:r w:rsidRPr="00C81430">
                    <w:rPr>
                      <w:rFonts w:eastAsia="Times New Roman"/>
                      <w:color w:val="000000"/>
                      <w:lang w:eastAsia="pt-BR"/>
                    </w:rPr>
                    <w:t> </w:t>
                  </w:r>
                </w:p>
              </w:tc>
              <w:tc>
                <w:tcPr>
                  <w:tcW w:w="1220" w:type="dxa"/>
                  <w:tcBorders>
                    <w:top w:val="nil"/>
                    <w:left w:val="nil"/>
                    <w:bottom w:val="nil"/>
                    <w:right w:val="nil"/>
                  </w:tcBorders>
                  <w:shd w:val="clear" w:color="000000" w:fill="FFFFFF"/>
                  <w:vAlign w:val="center"/>
                  <w:hideMark/>
                </w:tcPr>
                <w:p w:rsidR="00C81430" w:rsidRPr="00C81430" w:rsidRDefault="00C81430" w:rsidP="00C81430">
                  <w:pPr>
                    <w:suppressAutoHyphens w:val="0"/>
                    <w:spacing w:after="0" w:line="240" w:lineRule="auto"/>
                    <w:jc w:val="center"/>
                    <w:rPr>
                      <w:rFonts w:eastAsia="Times New Roman"/>
                      <w:color w:val="000000"/>
                      <w:lang w:eastAsia="pt-BR"/>
                    </w:rPr>
                  </w:pPr>
                  <w:r w:rsidRPr="00C81430">
                    <w:rPr>
                      <w:rFonts w:eastAsia="Times New Roman"/>
                      <w:color w:val="000000"/>
                      <w:lang w:eastAsia="pt-BR"/>
                    </w:rPr>
                    <w:t> </w:t>
                  </w:r>
                </w:p>
              </w:tc>
              <w:tc>
                <w:tcPr>
                  <w:tcW w:w="1220" w:type="dxa"/>
                  <w:tcBorders>
                    <w:top w:val="nil"/>
                    <w:left w:val="nil"/>
                    <w:bottom w:val="nil"/>
                    <w:right w:val="nil"/>
                  </w:tcBorders>
                  <w:shd w:val="clear" w:color="000000" w:fill="FFFFFF"/>
                  <w:vAlign w:val="center"/>
                  <w:hideMark/>
                </w:tcPr>
                <w:p w:rsidR="00C81430" w:rsidRPr="00C81430" w:rsidRDefault="00C81430" w:rsidP="00C81430">
                  <w:pPr>
                    <w:suppressAutoHyphens w:val="0"/>
                    <w:spacing w:after="0" w:line="240" w:lineRule="auto"/>
                    <w:jc w:val="center"/>
                    <w:rPr>
                      <w:rFonts w:eastAsia="Times New Roman"/>
                      <w:color w:val="000000"/>
                      <w:lang w:eastAsia="pt-BR"/>
                    </w:rPr>
                  </w:pPr>
                  <w:r w:rsidRPr="00C81430">
                    <w:rPr>
                      <w:rFonts w:eastAsia="Times New Roman"/>
                      <w:color w:val="000000"/>
                      <w:lang w:eastAsia="pt-BR"/>
                    </w:rPr>
                    <w:t> </w:t>
                  </w:r>
                </w:p>
              </w:tc>
              <w:tc>
                <w:tcPr>
                  <w:tcW w:w="1220" w:type="dxa"/>
                  <w:tcBorders>
                    <w:top w:val="nil"/>
                    <w:left w:val="nil"/>
                    <w:bottom w:val="nil"/>
                    <w:right w:val="nil"/>
                  </w:tcBorders>
                  <w:shd w:val="clear" w:color="000000" w:fill="FFFFFF"/>
                  <w:vAlign w:val="center"/>
                  <w:hideMark/>
                </w:tcPr>
                <w:p w:rsidR="00C81430" w:rsidRPr="00C81430" w:rsidRDefault="00C81430" w:rsidP="00C81430">
                  <w:pPr>
                    <w:suppressAutoHyphens w:val="0"/>
                    <w:spacing w:after="0" w:line="240" w:lineRule="auto"/>
                    <w:jc w:val="center"/>
                    <w:rPr>
                      <w:rFonts w:eastAsia="Times New Roman"/>
                      <w:color w:val="000000"/>
                      <w:lang w:eastAsia="pt-BR"/>
                    </w:rPr>
                  </w:pPr>
                  <w:r w:rsidRPr="00C81430">
                    <w:rPr>
                      <w:rFonts w:eastAsia="Times New Roman"/>
                      <w:color w:val="000000"/>
                      <w:lang w:eastAsia="pt-BR"/>
                    </w:rPr>
                    <w:t> </w:t>
                  </w:r>
                </w:p>
              </w:tc>
            </w:tr>
            <w:tr w:rsidR="00C81430" w:rsidRPr="00C81430" w:rsidTr="00C81430">
              <w:trPr>
                <w:trHeight w:val="342"/>
              </w:trPr>
              <w:tc>
                <w:tcPr>
                  <w:tcW w:w="1220" w:type="dxa"/>
                  <w:tcBorders>
                    <w:top w:val="nil"/>
                    <w:left w:val="nil"/>
                    <w:bottom w:val="nil"/>
                    <w:right w:val="nil"/>
                  </w:tcBorders>
                  <w:shd w:val="clear" w:color="000000" w:fill="FFFFFF"/>
                  <w:noWrap/>
                  <w:vAlign w:val="center"/>
                  <w:hideMark/>
                </w:tcPr>
                <w:p w:rsidR="00C81430" w:rsidRPr="00C81430" w:rsidRDefault="00C81430" w:rsidP="00C81430">
                  <w:pPr>
                    <w:suppressAutoHyphens w:val="0"/>
                    <w:spacing w:after="0" w:line="240" w:lineRule="auto"/>
                    <w:jc w:val="center"/>
                    <w:rPr>
                      <w:rFonts w:eastAsia="Times New Roman"/>
                      <w:color w:val="000000"/>
                      <w:lang w:eastAsia="pt-BR"/>
                    </w:rPr>
                  </w:pPr>
                  <w:r w:rsidRPr="00C81430">
                    <w:rPr>
                      <w:rFonts w:eastAsia="Times New Roman"/>
                      <w:color w:val="000000"/>
                      <w:lang w:eastAsia="pt-BR"/>
                    </w:rPr>
                    <w:t> </w:t>
                  </w:r>
                </w:p>
              </w:tc>
              <w:tc>
                <w:tcPr>
                  <w:tcW w:w="5200" w:type="dxa"/>
                  <w:gridSpan w:val="3"/>
                  <w:tcBorders>
                    <w:top w:val="single" w:sz="4" w:space="0" w:color="000000"/>
                    <w:left w:val="single" w:sz="4" w:space="0" w:color="000000"/>
                    <w:bottom w:val="single" w:sz="4" w:space="0" w:color="000000"/>
                    <w:right w:val="single" w:sz="4" w:space="0" w:color="000000"/>
                  </w:tcBorders>
                  <w:shd w:val="clear" w:color="DDDDDD" w:fill="FFFFFF"/>
                  <w:noWrap/>
                  <w:vAlign w:val="center"/>
                  <w:hideMark/>
                </w:tcPr>
                <w:p w:rsidR="00C81430" w:rsidRPr="00C81430" w:rsidRDefault="00C81430" w:rsidP="00C81430">
                  <w:pPr>
                    <w:suppressAutoHyphens w:val="0"/>
                    <w:spacing w:after="0" w:line="240" w:lineRule="auto"/>
                    <w:jc w:val="center"/>
                    <w:rPr>
                      <w:rFonts w:eastAsia="Times New Roman"/>
                      <w:b/>
                      <w:bCs/>
                      <w:color w:val="000000"/>
                      <w:lang w:eastAsia="pt-BR"/>
                    </w:rPr>
                  </w:pPr>
                  <w:r w:rsidRPr="00C81430">
                    <w:rPr>
                      <w:rFonts w:eastAsia="Times New Roman"/>
                      <w:b/>
                      <w:bCs/>
                      <w:color w:val="000000"/>
                      <w:lang w:eastAsia="pt-BR"/>
                    </w:rPr>
                    <w:t>TOTALIZAÇÃO (serviços + materiais)</w:t>
                  </w:r>
                </w:p>
              </w:tc>
              <w:tc>
                <w:tcPr>
                  <w:tcW w:w="2440" w:type="dxa"/>
                  <w:gridSpan w:val="2"/>
                  <w:tcBorders>
                    <w:top w:val="single" w:sz="4" w:space="0" w:color="000000"/>
                    <w:left w:val="nil"/>
                    <w:bottom w:val="single" w:sz="4" w:space="0" w:color="000000"/>
                    <w:right w:val="single" w:sz="4" w:space="0" w:color="000000"/>
                  </w:tcBorders>
                  <w:shd w:val="clear" w:color="DDDDDD" w:fill="FFFFFF"/>
                  <w:vAlign w:val="center"/>
                  <w:hideMark/>
                </w:tcPr>
                <w:p w:rsidR="00C81430" w:rsidRPr="00C81430" w:rsidRDefault="00C81430" w:rsidP="00C81430">
                  <w:pPr>
                    <w:suppressAutoHyphens w:val="0"/>
                    <w:spacing w:after="0" w:line="240" w:lineRule="auto"/>
                    <w:jc w:val="center"/>
                    <w:rPr>
                      <w:rFonts w:eastAsia="Times New Roman"/>
                      <w:b/>
                      <w:bCs/>
                      <w:color w:val="000000"/>
                      <w:lang w:eastAsia="pt-BR"/>
                    </w:rPr>
                  </w:pPr>
                  <w:r w:rsidRPr="00C81430">
                    <w:rPr>
                      <w:rFonts w:eastAsia="Times New Roman"/>
                      <w:b/>
                      <w:bCs/>
                      <w:color w:val="000000"/>
                      <w:lang w:eastAsia="pt-BR"/>
                    </w:rPr>
                    <w:t xml:space="preserve">Valor Mensal </w:t>
                  </w:r>
                </w:p>
              </w:tc>
              <w:tc>
                <w:tcPr>
                  <w:tcW w:w="1220" w:type="dxa"/>
                  <w:tcBorders>
                    <w:top w:val="nil"/>
                    <w:left w:val="nil"/>
                    <w:bottom w:val="nil"/>
                    <w:right w:val="nil"/>
                  </w:tcBorders>
                  <w:shd w:val="clear" w:color="000000" w:fill="FFFFFF"/>
                  <w:noWrap/>
                  <w:vAlign w:val="bottom"/>
                  <w:hideMark/>
                </w:tcPr>
                <w:p w:rsidR="00C81430" w:rsidRPr="00C81430" w:rsidRDefault="00C81430" w:rsidP="00C81430">
                  <w:pPr>
                    <w:suppressAutoHyphens w:val="0"/>
                    <w:spacing w:after="0" w:line="240" w:lineRule="auto"/>
                    <w:rPr>
                      <w:rFonts w:eastAsia="Times New Roman"/>
                      <w:color w:val="000000"/>
                      <w:lang w:eastAsia="pt-BR"/>
                    </w:rPr>
                  </w:pPr>
                  <w:r w:rsidRPr="00C81430">
                    <w:rPr>
                      <w:rFonts w:eastAsia="Times New Roman"/>
                      <w:color w:val="000000"/>
                      <w:lang w:eastAsia="pt-BR"/>
                    </w:rPr>
                    <w:t> </w:t>
                  </w:r>
                </w:p>
              </w:tc>
            </w:tr>
            <w:tr w:rsidR="00C81430" w:rsidRPr="00C81430" w:rsidTr="00C81430">
              <w:trPr>
                <w:trHeight w:val="342"/>
              </w:trPr>
              <w:tc>
                <w:tcPr>
                  <w:tcW w:w="1220" w:type="dxa"/>
                  <w:tcBorders>
                    <w:top w:val="nil"/>
                    <w:left w:val="nil"/>
                    <w:bottom w:val="nil"/>
                    <w:right w:val="nil"/>
                  </w:tcBorders>
                  <w:shd w:val="clear" w:color="000000" w:fill="FFFFFF"/>
                  <w:noWrap/>
                  <w:vAlign w:val="center"/>
                  <w:hideMark/>
                </w:tcPr>
                <w:p w:rsidR="00C81430" w:rsidRPr="00C81430" w:rsidRDefault="00C81430" w:rsidP="00C81430">
                  <w:pPr>
                    <w:suppressAutoHyphens w:val="0"/>
                    <w:spacing w:after="0" w:line="240" w:lineRule="auto"/>
                    <w:jc w:val="center"/>
                    <w:rPr>
                      <w:rFonts w:eastAsia="Times New Roman"/>
                      <w:color w:val="000000"/>
                      <w:lang w:eastAsia="pt-BR"/>
                    </w:rPr>
                  </w:pPr>
                  <w:r w:rsidRPr="00C81430">
                    <w:rPr>
                      <w:rFonts w:eastAsia="Times New Roman"/>
                      <w:color w:val="000000"/>
                      <w:lang w:eastAsia="pt-BR"/>
                    </w:rPr>
                    <w:t> </w:t>
                  </w:r>
                </w:p>
              </w:tc>
              <w:tc>
                <w:tcPr>
                  <w:tcW w:w="5200" w:type="dxa"/>
                  <w:gridSpan w:val="3"/>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rsidR="00C81430" w:rsidRPr="00C81430" w:rsidRDefault="00C81430" w:rsidP="00C81430">
                  <w:pPr>
                    <w:suppressAutoHyphens w:val="0"/>
                    <w:spacing w:after="0" w:line="240" w:lineRule="auto"/>
                    <w:jc w:val="center"/>
                    <w:rPr>
                      <w:rFonts w:eastAsia="Times New Roman"/>
                      <w:color w:val="000000"/>
                      <w:lang w:eastAsia="pt-BR"/>
                    </w:rPr>
                  </w:pPr>
                  <w:r w:rsidRPr="00C81430">
                    <w:rPr>
                      <w:rFonts w:eastAsia="Times New Roman"/>
                      <w:color w:val="000000"/>
                      <w:lang w:eastAsia="pt-BR"/>
                    </w:rPr>
                    <w:t>Mão de obra</w:t>
                  </w:r>
                </w:p>
              </w:tc>
              <w:tc>
                <w:tcPr>
                  <w:tcW w:w="2440" w:type="dxa"/>
                  <w:gridSpan w:val="2"/>
                  <w:tcBorders>
                    <w:top w:val="single" w:sz="4" w:space="0" w:color="000000"/>
                    <w:left w:val="nil"/>
                    <w:bottom w:val="single" w:sz="4" w:space="0" w:color="000000"/>
                    <w:right w:val="single" w:sz="4" w:space="0" w:color="000000"/>
                  </w:tcBorders>
                  <w:shd w:val="clear" w:color="000000" w:fill="FFFFFF"/>
                  <w:vAlign w:val="center"/>
                  <w:hideMark/>
                </w:tcPr>
                <w:p w:rsidR="00C81430" w:rsidRPr="00C81430" w:rsidRDefault="00C81430" w:rsidP="00C81430">
                  <w:pPr>
                    <w:suppressAutoHyphens w:val="0"/>
                    <w:spacing w:after="0" w:line="240" w:lineRule="auto"/>
                    <w:jc w:val="center"/>
                    <w:rPr>
                      <w:rFonts w:eastAsia="Times New Roman"/>
                      <w:color w:val="000000"/>
                      <w:lang w:eastAsia="pt-BR"/>
                    </w:rPr>
                  </w:pPr>
                  <w:r w:rsidRPr="00C81430">
                    <w:rPr>
                      <w:rFonts w:eastAsia="Times New Roman"/>
                      <w:color w:val="000000"/>
                      <w:lang w:eastAsia="pt-BR"/>
                    </w:rPr>
                    <w:t>R$ 28.422,73</w:t>
                  </w:r>
                </w:p>
              </w:tc>
              <w:tc>
                <w:tcPr>
                  <w:tcW w:w="1220" w:type="dxa"/>
                  <w:tcBorders>
                    <w:top w:val="nil"/>
                    <w:left w:val="nil"/>
                    <w:bottom w:val="nil"/>
                    <w:right w:val="nil"/>
                  </w:tcBorders>
                  <w:shd w:val="clear" w:color="000000" w:fill="FFFFFF"/>
                  <w:noWrap/>
                  <w:vAlign w:val="bottom"/>
                  <w:hideMark/>
                </w:tcPr>
                <w:p w:rsidR="00C81430" w:rsidRPr="00C81430" w:rsidRDefault="00C81430" w:rsidP="00C81430">
                  <w:pPr>
                    <w:suppressAutoHyphens w:val="0"/>
                    <w:spacing w:after="0" w:line="240" w:lineRule="auto"/>
                    <w:rPr>
                      <w:rFonts w:eastAsia="Times New Roman"/>
                      <w:color w:val="000000"/>
                      <w:lang w:eastAsia="pt-BR"/>
                    </w:rPr>
                  </w:pPr>
                  <w:r w:rsidRPr="00C81430">
                    <w:rPr>
                      <w:rFonts w:eastAsia="Times New Roman"/>
                      <w:color w:val="000000"/>
                      <w:lang w:eastAsia="pt-BR"/>
                    </w:rPr>
                    <w:t> </w:t>
                  </w:r>
                </w:p>
              </w:tc>
            </w:tr>
            <w:tr w:rsidR="00C81430" w:rsidRPr="00C81430" w:rsidTr="00C81430">
              <w:trPr>
                <w:trHeight w:val="315"/>
              </w:trPr>
              <w:tc>
                <w:tcPr>
                  <w:tcW w:w="1220" w:type="dxa"/>
                  <w:tcBorders>
                    <w:top w:val="nil"/>
                    <w:left w:val="nil"/>
                    <w:bottom w:val="nil"/>
                    <w:right w:val="nil"/>
                  </w:tcBorders>
                  <w:shd w:val="clear" w:color="000000" w:fill="FFFFFF"/>
                  <w:noWrap/>
                  <w:vAlign w:val="center"/>
                  <w:hideMark/>
                </w:tcPr>
                <w:p w:rsidR="00C81430" w:rsidRPr="00C81430" w:rsidRDefault="00C81430" w:rsidP="00C81430">
                  <w:pPr>
                    <w:suppressAutoHyphens w:val="0"/>
                    <w:spacing w:after="0" w:line="240" w:lineRule="auto"/>
                    <w:jc w:val="center"/>
                    <w:rPr>
                      <w:rFonts w:eastAsia="Times New Roman"/>
                      <w:color w:val="000000"/>
                      <w:lang w:eastAsia="pt-BR"/>
                    </w:rPr>
                  </w:pPr>
                  <w:r w:rsidRPr="00C81430">
                    <w:rPr>
                      <w:rFonts w:eastAsia="Times New Roman"/>
                      <w:color w:val="000000"/>
                      <w:lang w:eastAsia="pt-BR"/>
                    </w:rPr>
                    <w:t> </w:t>
                  </w:r>
                </w:p>
              </w:tc>
              <w:tc>
                <w:tcPr>
                  <w:tcW w:w="5200" w:type="dxa"/>
                  <w:gridSpan w:val="3"/>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rsidR="00C81430" w:rsidRPr="00C81430" w:rsidRDefault="00C81430" w:rsidP="00C81430">
                  <w:pPr>
                    <w:suppressAutoHyphens w:val="0"/>
                    <w:spacing w:after="0" w:line="240" w:lineRule="auto"/>
                    <w:jc w:val="center"/>
                    <w:rPr>
                      <w:rFonts w:eastAsia="Times New Roman"/>
                      <w:color w:val="000000"/>
                      <w:lang w:eastAsia="pt-BR"/>
                    </w:rPr>
                  </w:pPr>
                  <w:r w:rsidRPr="00C81430">
                    <w:rPr>
                      <w:rFonts w:eastAsia="Times New Roman"/>
                      <w:color w:val="000000"/>
                      <w:lang w:eastAsia="pt-BR"/>
                    </w:rPr>
                    <w:t>Materiais</w:t>
                  </w:r>
                </w:p>
              </w:tc>
              <w:tc>
                <w:tcPr>
                  <w:tcW w:w="2440" w:type="dxa"/>
                  <w:gridSpan w:val="2"/>
                  <w:tcBorders>
                    <w:top w:val="single" w:sz="4" w:space="0" w:color="000000"/>
                    <w:left w:val="nil"/>
                    <w:bottom w:val="single" w:sz="4" w:space="0" w:color="000000"/>
                    <w:right w:val="single" w:sz="4" w:space="0" w:color="000000"/>
                  </w:tcBorders>
                  <w:shd w:val="clear" w:color="000000" w:fill="FFFFFF"/>
                  <w:vAlign w:val="center"/>
                  <w:hideMark/>
                </w:tcPr>
                <w:p w:rsidR="00C81430" w:rsidRPr="00C81430" w:rsidRDefault="00C81430" w:rsidP="00C81430">
                  <w:pPr>
                    <w:suppressAutoHyphens w:val="0"/>
                    <w:spacing w:after="0" w:line="240" w:lineRule="auto"/>
                    <w:jc w:val="center"/>
                    <w:rPr>
                      <w:rFonts w:eastAsia="Times New Roman"/>
                      <w:color w:val="000000"/>
                      <w:lang w:eastAsia="pt-BR"/>
                    </w:rPr>
                  </w:pPr>
                  <w:r w:rsidRPr="00C81430">
                    <w:rPr>
                      <w:rFonts w:eastAsia="Times New Roman"/>
                      <w:color w:val="000000"/>
                      <w:lang w:eastAsia="pt-BR"/>
                    </w:rPr>
                    <w:t>R$ 59,21</w:t>
                  </w:r>
                </w:p>
              </w:tc>
              <w:tc>
                <w:tcPr>
                  <w:tcW w:w="1220" w:type="dxa"/>
                  <w:tcBorders>
                    <w:top w:val="nil"/>
                    <w:left w:val="nil"/>
                    <w:bottom w:val="nil"/>
                    <w:right w:val="nil"/>
                  </w:tcBorders>
                  <w:shd w:val="clear" w:color="000000" w:fill="FFFFFF"/>
                  <w:noWrap/>
                  <w:vAlign w:val="bottom"/>
                  <w:hideMark/>
                </w:tcPr>
                <w:p w:rsidR="00C81430" w:rsidRPr="00C81430" w:rsidRDefault="00C81430" w:rsidP="00C81430">
                  <w:pPr>
                    <w:suppressAutoHyphens w:val="0"/>
                    <w:spacing w:after="0" w:line="240" w:lineRule="auto"/>
                    <w:rPr>
                      <w:rFonts w:eastAsia="Times New Roman"/>
                      <w:color w:val="000000"/>
                      <w:lang w:eastAsia="pt-BR"/>
                    </w:rPr>
                  </w:pPr>
                  <w:r w:rsidRPr="00C81430">
                    <w:rPr>
                      <w:rFonts w:eastAsia="Times New Roman"/>
                      <w:color w:val="000000"/>
                      <w:lang w:eastAsia="pt-BR"/>
                    </w:rPr>
                    <w:t> </w:t>
                  </w:r>
                </w:p>
              </w:tc>
            </w:tr>
            <w:tr w:rsidR="00C81430" w:rsidRPr="00C81430" w:rsidTr="00C81430">
              <w:trPr>
                <w:trHeight w:val="315"/>
              </w:trPr>
              <w:tc>
                <w:tcPr>
                  <w:tcW w:w="1220" w:type="dxa"/>
                  <w:tcBorders>
                    <w:top w:val="nil"/>
                    <w:left w:val="nil"/>
                    <w:bottom w:val="nil"/>
                    <w:right w:val="nil"/>
                  </w:tcBorders>
                  <w:shd w:val="clear" w:color="000000" w:fill="FFFFFF"/>
                  <w:noWrap/>
                  <w:vAlign w:val="center"/>
                  <w:hideMark/>
                </w:tcPr>
                <w:p w:rsidR="00C81430" w:rsidRPr="00C81430" w:rsidRDefault="00C81430" w:rsidP="00C81430">
                  <w:pPr>
                    <w:suppressAutoHyphens w:val="0"/>
                    <w:spacing w:after="0" w:line="240" w:lineRule="auto"/>
                    <w:jc w:val="center"/>
                    <w:rPr>
                      <w:rFonts w:eastAsia="Times New Roman"/>
                      <w:color w:val="000000"/>
                      <w:lang w:eastAsia="pt-BR"/>
                    </w:rPr>
                  </w:pPr>
                  <w:r w:rsidRPr="00C81430">
                    <w:rPr>
                      <w:rFonts w:eastAsia="Times New Roman"/>
                      <w:color w:val="000000"/>
                      <w:lang w:eastAsia="pt-BR"/>
                    </w:rPr>
                    <w:t> </w:t>
                  </w:r>
                </w:p>
              </w:tc>
              <w:tc>
                <w:tcPr>
                  <w:tcW w:w="5200" w:type="dxa"/>
                  <w:gridSpan w:val="3"/>
                  <w:tcBorders>
                    <w:top w:val="single" w:sz="4" w:space="0" w:color="000000"/>
                    <w:left w:val="single" w:sz="4" w:space="0" w:color="000000"/>
                    <w:bottom w:val="single" w:sz="4" w:space="0" w:color="000000"/>
                    <w:right w:val="single" w:sz="4" w:space="0" w:color="000000"/>
                  </w:tcBorders>
                  <w:shd w:val="clear" w:color="DDDDDD" w:fill="FFFFFF"/>
                  <w:noWrap/>
                  <w:vAlign w:val="center"/>
                  <w:hideMark/>
                </w:tcPr>
                <w:p w:rsidR="00C81430" w:rsidRPr="00C81430" w:rsidRDefault="00C81430" w:rsidP="00C81430">
                  <w:pPr>
                    <w:suppressAutoHyphens w:val="0"/>
                    <w:spacing w:after="0" w:line="240" w:lineRule="auto"/>
                    <w:jc w:val="center"/>
                    <w:rPr>
                      <w:rFonts w:eastAsia="Times New Roman"/>
                      <w:color w:val="000000"/>
                      <w:lang w:eastAsia="pt-BR"/>
                    </w:rPr>
                  </w:pPr>
                  <w:r w:rsidRPr="00C81430">
                    <w:rPr>
                      <w:rFonts w:eastAsia="Times New Roman"/>
                      <w:color w:val="000000"/>
                      <w:lang w:eastAsia="pt-BR"/>
                    </w:rPr>
                    <w:t xml:space="preserve"> TOTAL </w:t>
                  </w:r>
                </w:p>
              </w:tc>
              <w:tc>
                <w:tcPr>
                  <w:tcW w:w="2440" w:type="dxa"/>
                  <w:gridSpan w:val="2"/>
                  <w:tcBorders>
                    <w:top w:val="single" w:sz="4" w:space="0" w:color="000000"/>
                    <w:left w:val="nil"/>
                    <w:bottom w:val="single" w:sz="4" w:space="0" w:color="000000"/>
                    <w:right w:val="single" w:sz="4" w:space="0" w:color="000000"/>
                  </w:tcBorders>
                  <w:shd w:val="clear" w:color="CCCCCC" w:fill="FFFFFF"/>
                  <w:vAlign w:val="center"/>
                  <w:hideMark/>
                </w:tcPr>
                <w:p w:rsidR="00C81430" w:rsidRPr="00C81430" w:rsidRDefault="00C81430" w:rsidP="00C81430">
                  <w:pPr>
                    <w:suppressAutoHyphens w:val="0"/>
                    <w:spacing w:after="0" w:line="240" w:lineRule="auto"/>
                    <w:jc w:val="center"/>
                    <w:rPr>
                      <w:rFonts w:eastAsia="Times New Roman"/>
                      <w:b/>
                      <w:bCs/>
                      <w:color w:val="000000"/>
                      <w:lang w:eastAsia="pt-BR"/>
                    </w:rPr>
                  </w:pPr>
                  <w:r w:rsidRPr="00C81430">
                    <w:rPr>
                      <w:rFonts w:eastAsia="Times New Roman"/>
                      <w:b/>
                      <w:bCs/>
                      <w:color w:val="000000"/>
                      <w:lang w:eastAsia="pt-BR"/>
                    </w:rPr>
                    <w:t>R$ 28.481,94</w:t>
                  </w:r>
                </w:p>
              </w:tc>
              <w:tc>
                <w:tcPr>
                  <w:tcW w:w="1220" w:type="dxa"/>
                  <w:tcBorders>
                    <w:top w:val="nil"/>
                    <w:left w:val="nil"/>
                    <w:bottom w:val="nil"/>
                    <w:right w:val="nil"/>
                  </w:tcBorders>
                  <w:shd w:val="clear" w:color="000000" w:fill="FFFFFF"/>
                  <w:noWrap/>
                  <w:vAlign w:val="bottom"/>
                  <w:hideMark/>
                </w:tcPr>
                <w:p w:rsidR="00C81430" w:rsidRPr="00C81430" w:rsidRDefault="00C81430" w:rsidP="00C81430">
                  <w:pPr>
                    <w:suppressAutoHyphens w:val="0"/>
                    <w:spacing w:after="0" w:line="240" w:lineRule="auto"/>
                    <w:rPr>
                      <w:rFonts w:eastAsia="Times New Roman"/>
                      <w:color w:val="000000"/>
                      <w:lang w:eastAsia="pt-BR"/>
                    </w:rPr>
                  </w:pPr>
                  <w:r w:rsidRPr="00C81430">
                    <w:rPr>
                      <w:rFonts w:eastAsia="Times New Roman"/>
                      <w:color w:val="000000"/>
                      <w:lang w:eastAsia="pt-BR"/>
                    </w:rPr>
                    <w:t> </w:t>
                  </w:r>
                </w:p>
              </w:tc>
            </w:tr>
          </w:tbl>
          <w:p w:rsidR="00C81430" w:rsidRDefault="00C81430">
            <w:pPr>
              <w:widowControl w:val="0"/>
              <w:snapToGrid w:val="0"/>
              <w:spacing w:after="29" w:line="240" w:lineRule="auto"/>
              <w:jc w:val="center"/>
              <w:rPr>
                <w:shd w:val="clear" w:color="auto" w:fill="FFFF00"/>
              </w:rPr>
            </w:pPr>
          </w:p>
          <w:p w:rsidR="00F9568F" w:rsidRDefault="00F9568F">
            <w:pPr>
              <w:spacing w:after="0"/>
              <w:rPr>
                <w:sz w:val="10"/>
              </w:rPr>
            </w:pPr>
          </w:p>
        </w:tc>
      </w:tr>
      <w:tr w:rsidR="00F9568F" w:rsidTr="0063732E">
        <w:trPr>
          <w:trHeight w:val="532"/>
        </w:trPr>
        <w:tc>
          <w:tcPr>
            <w:tcW w:w="11069" w:type="dxa"/>
            <w:gridSpan w:val="2"/>
            <w:tcBorders>
              <w:left w:val="single" w:sz="4" w:space="0" w:color="000000"/>
              <w:bottom w:val="single" w:sz="4" w:space="0" w:color="000000"/>
              <w:right w:val="single" w:sz="4" w:space="0" w:color="000000"/>
            </w:tcBorders>
            <w:shd w:val="clear" w:color="auto" w:fill="auto"/>
            <w:vAlign w:val="center"/>
          </w:tcPr>
          <w:p w:rsidR="00F9568F" w:rsidRDefault="00F9568F">
            <w:pPr>
              <w:widowControl w:val="0"/>
              <w:numPr>
                <w:ilvl w:val="0"/>
                <w:numId w:val="4"/>
              </w:numPr>
              <w:autoSpaceDE w:val="0"/>
              <w:spacing w:after="0" w:line="240" w:lineRule="auto"/>
              <w:jc w:val="center"/>
            </w:pPr>
            <w:r>
              <w:rPr>
                <w:rFonts w:ascii="Arial" w:hAnsi="Arial" w:cs="Arial"/>
                <w:b/>
                <w:sz w:val="24"/>
                <w:szCs w:val="24"/>
              </w:rPr>
              <w:lastRenderedPageBreak/>
              <w:t>Estimativa do valor da contratação</w:t>
            </w:r>
          </w:p>
        </w:tc>
      </w:tr>
      <w:tr w:rsidR="00F9568F" w:rsidTr="0063732E">
        <w:trPr>
          <w:trHeight w:val="842"/>
        </w:trPr>
        <w:tc>
          <w:tcPr>
            <w:tcW w:w="11069" w:type="dxa"/>
            <w:gridSpan w:val="2"/>
            <w:tcBorders>
              <w:left w:val="single" w:sz="4" w:space="0" w:color="000000"/>
              <w:bottom w:val="single" w:sz="4" w:space="0" w:color="000000"/>
              <w:right w:val="single" w:sz="4" w:space="0" w:color="000000"/>
            </w:tcBorders>
            <w:shd w:val="clear" w:color="auto" w:fill="auto"/>
            <w:vAlign w:val="center"/>
          </w:tcPr>
          <w:p w:rsidR="00F9568F" w:rsidRDefault="00F9568F">
            <w:pPr>
              <w:autoSpaceDE w:val="0"/>
              <w:spacing w:after="0" w:line="240" w:lineRule="auto"/>
              <w:jc w:val="both"/>
            </w:pPr>
            <w:r>
              <w:rPr>
                <w:rFonts w:ascii="Arial" w:hAnsi="Arial" w:cs="Arial"/>
                <w:sz w:val="24"/>
                <w:szCs w:val="24"/>
              </w:rPr>
              <w:t xml:space="preserve">Em relação às planilhas de custo, utilizou-se o modelo recomendado na </w:t>
            </w:r>
            <w:r>
              <w:rPr>
                <w:rFonts w:ascii="Arial" w:hAnsi="Arial" w:cs="Arial"/>
                <w:color w:val="000000"/>
                <w:sz w:val="24"/>
                <w:szCs w:val="24"/>
              </w:rPr>
              <w:t>Instrução Normativa nº 5/2017 do Ministério do Planejamento, Desenvolvimento e Gestão e, em rela</w:t>
            </w:r>
            <w:r>
              <w:rPr>
                <w:rFonts w:ascii="Arial" w:hAnsi="Arial" w:cs="Arial"/>
                <w:sz w:val="24"/>
                <w:szCs w:val="24"/>
              </w:rPr>
              <w:t>ção aos salários e os insumos, observou-se o estabelecido nas seguintes Convenções Coletivas de Trabalho:</w:t>
            </w:r>
          </w:p>
          <w:p w:rsidR="00F9568F" w:rsidRDefault="00F9568F">
            <w:pPr>
              <w:autoSpaceDE w:val="0"/>
              <w:spacing w:before="240" w:after="0" w:line="240" w:lineRule="auto"/>
              <w:jc w:val="both"/>
            </w:pPr>
            <w:r>
              <w:rPr>
                <w:rFonts w:ascii="Arial" w:hAnsi="Arial" w:cs="Arial"/>
                <w:sz w:val="24"/>
                <w:szCs w:val="24"/>
              </w:rPr>
              <w:t xml:space="preserve">- Convenção Coletiva de Trabalho </w:t>
            </w:r>
            <w:r w:rsidR="00F361A7">
              <w:rPr>
                <w:rFonts w:ascii="Arial" w:hAnsi="Arial" w:cs="Arial"/>
                <w:sz w:val="24"/>
                <w:szCs w:val="24"/>
              </w:rPr>
              <w:t>2022-2024</w:t>
            </w:r>
            <w:r>
              <w:rPr>
                <w:rFonts w:ascii="Arial" w:hAnsi="Arial" w:cs="Arial"/>
                <w:sz w:val="24"/>
                <w:szCs w:val="24"/>
              </w:rPr>
              <w:t xml:space="preserve"> do Sindicato das Empresas de Asseio e Conservação no Estado do PR (SIEMACO).</w:t>
            </w:r>
            <w:r>
              <w:rPr>
                <w:rFonts w:ascii="Arial" w:hAnsi="Arial" w:cs="Arial"/>
                <w:color w:val="000000"/>
                <w:sz w:val="24"/>
                <w:szCs w:val="20"/>
              </w:rPr>
              <w:t xml:space="preserve"> </w:t>
            </w:r>
          </w:p>
          <w:p w:rsidR="00F9568F" w:rsidRDefault="00F9568F">
            <w:pPr>
              <w:autoSpaceDE w:val="0"/>
              <w:spacing w:after="0" w:line="240" w:lineRule="auto"/>
              <w:jc w:val="both"/>
              <w:rPr>
                <w:rFonts w:ascii="Arial" w:hAnsi="Arial" w:cs="Arial"/>
                <w:color w:val="C9211E"/>
                <w:sz w:val="24"/>
                <w:szCs w:val="24"/>
              </w:rPr>
            </w:pPr>
          </w:p>
          <w:p w:rsidR="00F9568F" w:rsidRDefault="00F9568F">
            <w:pPr>
              <w:autoSpaceDE w:val="0"/>
              <w:spacing w:after="0" w:line="240" w:lineRule="auto"/>
              <w:jc w:val="both"/>
            </w:pPr>
            <w:r>
              <w:rPr>
                <w:rFonts w:ascii="Arial" w:hAnsi="Arial" w:cs="Arial"/>
                <w:sz w:val="24"/>
                <w:szCs w:val="24"/>
              </w:rPr>
              <w:t>Em relação aos Encargos e Benefícios Anuais, Mensais e Diários:</w:t>
            </w:r>
          </w:p>
          <w:p w:rsidR="00F9568F" w:rsidRDefault="00F9568F">
            <w:pPr>
              <w:autoSpaceDE w:val="0"/>
              <w:spacing w:after="0" w:line="240" w:lineRule="auto"/>
              <w:jc w:val="both"/>
              <w:rPr>
                <w:rFonts w:ascii="Arial" w:hAnsi="Arial" w:cs="Arial"/>
                <w:sz w:val="24"/>
                <w:szCs w:val="24"/>
              </w:rPr>
            </w:pPr>
          </w:p>
          <w:p w:rsidR="00F9568F" w:rsidRDefault="00F9568F">
            <w:pPr>
              <w:autoSpaceDE w:val="0"/>
              <w:spacing w:after="0" w:line="240" w:lineRule="auto"/>
              <w:jc w:val="both"/>
            </w:pPr>
            <w:r>
              <w:rPr>
                <w:rFonts w:ascii="Arial" w:hAnsi="Arial" w:cs="Arial"/>
                <w:sz w:val="24"/>
                <w:szCs w:val="24"/>
              </w:rPr>
              <w:t>A Resolução 169/13 do Conselho Nacional de Justiça dispõe acerca da necessidade de provisionamento das verbas a título de 13º salário, férias, terço constitucional de férias, e multa do FGTS. Assim, considerando-se a necessidade de se resguardar também os direitos dos substitutos, optou-se pelos seguintes percentuais:</w:t>
            </w:r>
            <w:r>
              <w:rPr>
                <w:rFonts w:ascii="Arial" w:hAnsi="Arial" w:cs="Arial"/>
                <w:color w:val="C9211E"/>
                <w:sz w:val="24"/>
                <w:szCs w:val="24"/>
              </w:rPr>
              <w:t xml:space="preserve"> </w:t>
            </w:r>
          </w:p>
          <w:p w:rsidR="00F9568F" w:rsidRDefault="00F9568F">
            <w:pPr>
              <w:autoSpaceDE w:val="0"/>
              <w:spacing w:after="0" w:line="240" w:lineRule="auto"/>
              <w:jc w:val="both"/>
              <w:rPr>
                <w:rFonts w:ascii="Arial" w:hAnsi="Arial" w:cs="Arial"/>
                <w:color w:val="C9211E"/>
                <w:sz w:val="24"/>
                <w:szCs w:val="24"/>
              </w:rPr>
            </w:pPr>
          </w:p>
          <w:p w:rsidR="00F9568F" w:rsidRDefault="00F9568F">
            <w:pPr>
              <w:autoSpaceDE w:val="0"/>
              <w:spacing w:after="0" w:line="240" w:lineRule="auto"/>
              <w:ind w:left="670"/>
              <w:jc w:val="both"/>
            </w:pPr>
            <w:r>
              <w:rPr>
                <w:rFonts w:ascii="Arial" w:hAnsi="Arial" w:cs="Arial"/>
                <w:sz w:val="24"/>
                <w:szCs w:val="24"/>
              </w:rPr>
              <w:t>Lei 4.090/62. Baseou-se nos Estudos do CNJ Resolução 98/2009 e determinou-se a provisão mensal considerando que na duração do contrato de 60 meses o empregado tem 05 meses de férias e labora 56 meses. O cálculo foi feito da seguinte forma: (5/56) x 100 = 8,93% (MPOG – Manual de preenchimento, 2011, p. 22)</w:t>
            </w:r>
          </w:p>
          <w:p w:rsidR="00F9568F" w:rsidRDefault="00F9568F">
            <w:pPr>
              <w:autoSpaceDE w:val="0"/>
              <w:spacing w:after="0" w:line="240" w:lineRule="auto"/>
              <w:ind w:left="720"/>
              <w:jc w:val="both"/>
              <w:rPr>
                <w:rFonts w:ascii="Arial" w:hAnsi="Arial" w:cs="Arial"/>
                <w:sz w:val="24"/>
                <w:szCs w:val="24"/>
              </w:rPr>
            </w:pPr>
          </w:p>
          <w:p w:rsidR="00F9568F" w:rsidRDefault="00F9568F">
            <w:pPr>
              <w:autoSpaceDE w:val="0"/>
              <w:spacing w:after="0" w:line="240" w:lineRule="auto"/>
              <w:ind w:left="720"/>
              <w:jc w:val="both"/>
            </w:pPr>
            <w:r>
              <w:rPr>
                <w:rFonts w:ascii="Arial" w:hAnsi="Arial" w:cs="Arial"/>
                <w:sz w:val="24"/>
                <w:szCs w:val="24"/>
              </w:rPr>
              <w:t>Módulo 4.1 Encargos Previdenciários:</w:t>
            </w:r>
          </w:p>
          <w:p w:rsidR="00F9568F" w:rsidRDefault="00F9568F">
            <w:pPr>
              <w:autoSpaceDE w:val="0"/>
              <w:spacing w:after="0" w:line="240" w:lineRule="auto"/>
              <w:ind w:left="720"/>
              <w:jc w:val="both"/>
            </w:pPr>
            <w:r>
              <w:rPr>
                <w:rFonts w:ascii="Arial" w:hAnsi="Arial" w:cs="Arial"/>
                <w:sz w:val="24"/>
                <w:szCs w:val="24"/>
              </w:rPr>
              <w:t>INSS: 20%, nos termos da Lei 8.212/91, artigo 22, I</w:t>
            </w:r>
          </w:p>
          <w:p w:rsidR="00F9568F" w:rsidRDefault="00F9568F">
            <w:pPr>
              <w:autoSpaceDE w:val="0"/>
              <w:spacing w:after="0" w:line="240" w:lineRule="auto"/>
              <w:ind w:left="720"/>
              <w:jc w:val="both"/>
            </w:pPr>
            <w:r>
              <w:rPr>
                <w:rFonts w:ascii="Arial" w:hAnsi="Arial" w:cs="Arial"/>
                <w:sz w:val="24"/>
                <w:szCs w:val="24"/>
              </w:rPr>
              <w:t>Salário Educação: 2,5% nos termos do Decreto 87.403/82, artigo 3º, I</w:t>
            </w:r>
          </w:p>
          <w:p w:rsidR="00F9568F" w:rsidRDefault="00F9568F">
            <w:pPr>
              <w:autoSpaceDE w:val="0"/>
              <w:spacing w:after="0" w:line="240" w:lineRule="auto"/>
              <w:ind w:left="720"/>
              <w:jc w:val="both"/>
            </w:pPr>
            <w:r>
              <w:rPr>
                <w:rFonts w:ascii="Arial" w:hAnsi="Arial" w:cs="Arial"/>
                <w:sz w:val="24"/>
                <w:szCs w:val="24"/>
              </w:rPr>
              <w:t>Seguro de Acidente de Trabalho: 6%, conforme a Lei 8.212/91, art. 22, II “b” e “c” (</w:t>
            </w:r>
            <w:r w:rsidR="003C59DC">
              <w:rPr>
                <w:rFonts w:ascii="Arial" w:hAnsi="Arial" w:cs="Arial"/>
                <w:sz w:val="24"/>
                <w:szCs w:val="24"/>
              </w:rPr>
              <w:t xml:space="preserve">fator de multiplicação máximo </w:t>
            </w:r>
            <w:r>
              <w:rPr>
                <w:rFonts w:ascii="Arial" w:hAnsi="Arial" w:cs="Arial"/>
                <w:sz w:val="24"/>
                <w:szCs w:val="24"/>
              </w:rPr>
              <w:t>do FAP de 2 indicado pela previdência social, multiplicado pelo percentual de 3% de RAT)</w:t>
            </w:r>
          </w:p>
          <w:p w:rsidR="00F9568F" w:rsidRDefault="00F9568F">
            <w:pPr>
              <w:autoSpaceDE w:val="0"/>
              <w:spacing w:after="0" w:line="240" w:lineRule="auto"/>
              <w:ind w:left="720"/>
              <w:jc w:val="both"/>
            </w:pPr>
            <w:r>
              <w:rPr>
                <w:rFonts w:ascii="Arial" w:hAnsi="Arial" w:cs="Arial"/>
                <w:sz w:val="24"/>
                <w:szCs w:val="24"/>
              </w:rPr>
              <w:t>SESC/SESI: 1,50% - Lei 8.036/90</w:t>
            </w:r>
            <w:r w:rsidR="00A42195">
              <w:rPr>
                <w:rFonts w:ascii="Arial" w:hAnsi="Arial" w:cs="Arial"/>
                <w:sz w:val="24"/>
                <w:szCs w:val="24"/>
              </w:rPr>
              <w:t>,</w:t>
            </w:r>
            <w:r>
              <w:rPr>
                <w:rFonts w:ascii="Arial" w:hAnsi="Arial" w:cs="Arial"/>
                <w:sz w:val="24"/>
                <w:szCs w:val="24"/>
              </w:rPr>
              <w:t xml:space="preserve"> artigo 30</w:t>
            </w:r>
          </w:p>
          <w:p w:rsidR="00F9568F" w:rsidRDefault="00F9568F">
            <w:pPr>
              <w:autoSpaceDE w:val="0"/>
              <w:spacing w:after="0" w:line="240" w:lineRule="auto"/>
              <w:ind w:left="720"/>
              <w:jc w:val="both"/>
            </w:pPr>
            <w:r>
              <w:rPr>
                <w:rFonts w:ascii="Arial" w:hAnsi="Arial" w:cs="Arial"/>
                <w:sz w:val="24"/>
                <w:szCs w:val="24"/>
              </w:rPr>
              <w:t>SENAI/SENAC: 1,00% - Decreto-lei 2.318/86</w:t>
            </w:r>
          </w:p>
          <w:p w:rsidR="00F9568F" w:rsidRDefault="00F9568F">
            <w:pPr>
              <w:autoSpaceDE w:val="0"/>
              <w:spacing w:after="0" w:line="240" w:lineRule="auto"/>
              <w:ind w:left="720"/>
              <w:jc w:val="both"/>
            </w:pPr>
            <w:r>
              <w:rPr>
                <w:rFonts w:ascii="Arial" w:hAnsi="Arial" w:cs="Arial"/>
                <w:sz w:val="24"/>
                <w:szCs w:val="24"/>
              </w:rPr>
              <w:t>SEBRAE: 0,60% - Lei 8.029/90</w:t>
            </w:r>
          </w:p>
          <w:p w:rsidR="00F9568F" w:rsidRDefault="00F9568F">
            <w:pPr>
              <w:autoSpaceDE w:val="0"/>
              <w:spacing w:after="0" w:line="240" w:lineRule="auto"/>
              <w:ind w:left="720"/>
              <w:jc w:val="both"/>
            </w:pPr>
            <w:r>
              <w:rPr>
                <w:rFonts w:ascii="Arial" w:hAnsi="Arial" w:cs="Arial"/>
                <w:sz w:val="24"/>
                <w:szCs w:val="24"/>
              </w:rPr>
              <w:t>INCRA: 0,20% - Decreto/lei 1.146/70 art. 1º, I</w:t>
            </w:r>
          </w:p>
          <w:p w:rsidR="00F9568F" w:rsidRDefault="00F9568F">
            <w:pPr>
              <w:autoSpaceDE w:val="0"/>
              <w:spacing w:after="0" w:line="240" w:lineRule="auto"/>
              <w:ind w:left="720"/>
              <w:jc w:val="both"/>
            </w:pPr>
            <w:r>
              <w:rPr>
                <w:rFonts w:ascii="Arial" w:hAnsi="Arial" w:cs="Arial"/>
                <w:sz w:val="24"/>
                <w:szCs w:val="24"/>
              </w:rPr>
              <w:t>FGTS: 8% - Lei 8.036/90, art. 15, e art. 7º, III da CF.</w:t>
            </w:r>
          </w:p>
          <w:p w:rsidR="00F9568F" w:rsidRDefault="00F9568F">
            <w:pPr>
              <w:autoSpaceDE w:val="0"/>
              <w:spacing w:after="0" w:line="240" w:lineRule="auto"/>
              <w:ind w:left="720"/>
              <w:jc w:val="both"/>
              <w:rPr>
                <w:rFonts w:ascii="Arial" w:hAnsi="Arial" w:cs="Arial"/>
                <w:sz w:val="24"/>
                <w:szCs w:val="24"/>
              </w:rPr>
            </w:pPr>
          </w:p>
          <w:p w:rsidR="00F9568F" w:rsidRDefault="00F9568F">
            <w:pPr>
              <w:autoSpaceDE w:val="0"/>
              <w:spacing w:after="0" w:line="240" w:lineRule="auto"/>
              <w:jc w:val="both"/>
            </w:pPr>
            <w:r>
              <w:rPr>
                <w:rFonts w:ascii="Arial" w:hAnsi="Arial" w:cs="Arial"/>
                <w:sz w:val="24"/>
                <w:szCs w:val="24"/>
              </w:rPr>
              <w:t>Insumos:</w:t>
            </w:r>
          </w:p>
          <w:p w:rsidR="00F9568F" w:rsidRDefault="00F9568F">
            <w:pPr>
              <w:autoSpaceDE w:val="0"/>
              <w:spacing w:after="0" w:line="240" w:lineRule="auto"/>
              <w:jc w:val="both"/>
            </w:pPr>
            <w:r>
              <w:rPr>
                <w:rFonts w:ascii="Arial" w:hAnsi="Arial" w:cs="Arial"/>
                <w:sz w:val="24"/>
                <w:szCs w:val="24"/>
              </w:rPr>
              <w:t>Para a obtenção dos valores de insumos: uniformes e equipamento de proteção individual, efetuou-se pesquisa de mercado no Banco de Preços, nos termos da Instrução Normativa 73/2020, e em sítios eletrônicos</w:t>
            </w:r>
            <w:r w:rsidR="00A42195">
              <w:rPr>
                <w:rFonts w:ascii="Arial" w:hAnsi="Arial" w:cs="Arial"/>
                <w:sz w:val="24"/>
                <w:szCs w:val="24"/>
              </w:rPr>
              <w:t xml:space="preserve"> de fornecedores</w:t>
            </w:r>
            <w:r>
              <w:rPr>
                <w:rFonts w:ascii="Arial" w:hAnsi="Arial" w:cs="Arial"/>
                <w:sz w:val="24"/>
                <w:szCs w:val="24"/>
              </w:rPr>
              <w:t>. Utilizou-se como critério para a obtenção do valor a média dos itens pesquisados sendo desconsiderados valores subavaliados ou superavaliados</w:t>
            </w:r>
            <w:r>
              <w:rPr>
                <w:rFonts w:ascii="Arial" w:hAnsi="Arial" w:cs="Arial"/>
                <w:color w:val="C9211E"/>
                <w:sz w:val="24"/>
                <w:szCs w:val="24"/>
              </w:rPr>
              <w:t>.</w:t>
            </w:r>
          </w:p>
        </w:tc>
      </w:tr>
      <w:tr w:rsidR="00F9568F" w:rsidTr="0063732E">
        <w:trPr>
          <w:trHeight w:val="414"/>
        </w:trPr>
        <w:tc>
          <w:tcPr>
            <w:tcW w:w="11069" w:type="dxa"/>
            <w:gridSpan w:val="2"/>
            <w:tcBorders>
              <w:left w:val="single" w:sz="4" w:space="0" w:color="000000"/>
              <w:bottom w:val="single" w:sz="4" w:space="0" w:color="000000"/>
              <w:right w:val="single" w:sz="4" w:space="0" w:color="000000"/>
            </w:tcBorders>
            <w:shd w:val="clear" w:color="auto" w:fill="auto"/>
            <w:vAlign w:val="center"/>
          </w:tcPr>
          <w:p w:rsidR="00F9568F" w:rsidRDefault="00F9568F">
            <w:pPr>
              <w:widowControl w:val="0"/>
              <w:numPr>
                <w:ilvl w:val="0"/>
                <w:numId w:val="4"/>
              </w:numPr>
              <w:autoSpaceDE w:val="0"/>
              <w:spacing w:after="0" w:line="240" w:lineRule="auto"/>
              <w:jc w:val="center"/>
            </w:pPr>
            <w:r>
              <w:rPr>
                <w:rFonts w:ascii="Arial" w:hAnsi="Arial" w:cs="Arial"/>
                <w:b/>
                <w:sz w:val="24"/>
                <w:szCs w:val="24"/>
              </w:rPr>
              <w:t>Parcelamento ou não da solução</w:t>
            </w:r>
          </w:p>
        </w:tc>
      </w:tr>
      <w:tr w:rsidR="00F9568F" w:rsidTr="0063732E">
        <w:trPr>
          <w:trHeight w:val="1568"/>
        </w:trPr>
        <w:tc>
          <w:tcPr>
            <w:tcW w:w="11069" w:type="dxa"/>
            <w:gridSpan w:val="2"/>
            <w:tcBorders>
              <w:left w:val="single" w:sz="4" w:space="0" w:color="000000"/>
              <w:bottom w:val="single" w:sz="4" w:space="0" w:color="000000"/>
              <w:right w:val="single" w:sz="4" w:space="0" w:color="000000"/>
            </w:tcBorders>
            <w:shd w:val="clear" w:color="auto" w:fill="auto"/>
            <w:vAlign w:val="center"/>
          </w:tcPr>
          <w:p w:rsidR="00F9568F" w:rsidRDefault="00F9568F">
            <w:pPr>
              <w:jc w:val="both"/>
            </w:pPr>
            <w:r>
              <w:rPr>
                <w:rFonts w:ascii="Arial" w:hAnsi="Arial" w:cs="Arial"/>
                <w:sz w:val="24"/>
                <w:szCs w:val="24"/>
              </w:rPr>
              <w:t>Conforme disposto no</w:t>
            </w:r>
            <w:r>
              <w:rPr>
                <w:rFonts w:ascii="Arial" w:hAnsi="Arial" w:cs="Arial"/>
                <w:b/>
                <w:sz w:val="24"/>
                <w:szCs w:val="24"/>
              </w:rPr>
              <w:t xml:space="preserve"> </w:t>
            </w:r>
            <w:r>
              <w:rPr>
                <w:rFonts w:ascii="Arial" w:hAnsi="Arial" w:cs="Arial"/>
                <w:sz w:val="24"/>
                <w:szCs w:val="24"/>
              </w:rPr>
              <w:t xml:space="preserve">artigo 24, § 1º, VIII, da IN 5/2017, os Estudos Preliminares devem trazer as </w:t>
            </w:r>
            <w:r>
              <w:rPr>
                <w:rFonts w:ascii="Arial" w:hAnsi="Arial" w:cs="Arial"/>
                <w:i/>
                <w:sz w:val="24"/>
                <w:szCs w:val="24"/>
              </w:rPr>
              <w:t>"justificativas para o parcelamento ou não da solução quando necessária para individualização do objeto”.</w:t>
            </w:r>
          </w:p>
          <w:p w:rsidR="00F9568F" w:rsidRDefault="00F9568F">
            <w:pPr>
              <w:jc w:val="both"/>
            </w:pPr>
            <w:r>
              <w:rPr>
                <w:rFonts w:ascii="Arial" w:hAnsi="Arial" w:cs="Arial"/>
                <w:sz w:val="24"/>
                <w:szCs w:val="24"/>
              </w:rPr>
              <w:t>Considerando que o presente caso concreto visa à contratação de apenas um tipo de posto (recepcioni</w:t>
            </w:r>
            <w:r>
              <w:rPr>
                <w:rFonts w:ascii="Arial" w:hAnsi="Arial" w:cs="Arial"/>
                <w:color w:val="000000"/>
                <w:sz w:val="24"/>
                <w:szCs w:val="24"/>
              </w:rPr>
              <w:t>sta</w:t>
            </w:r>
            <w:r>
              <w:rPr>
                <w:rFonts w:ascii="Arial" w:hAnsi="Arial" w:cs="Arial"/>
                <w:sz w:val="24"/>
                <w:szCs w:val="24"/>
              </w:rPr>
              <w:t>),</w:t>
            </w:r>
            <w:r w:rsidR="004F272A">
              <w:rPr>
                <w:rFonts w:ascii="Arial" w:hAnsi="Arial" w:cs="Arial"/>
                <w:sz w:val="24"/>
                <w:szCs w:val="24"/>
              </w:rPr>
              <w:t xml:space="preserve"> totalizando apenas 6 (seis) postos, nas localidades de Curitiba, São José dos </w:t>
            </w:r>
            <w:r w:rsidR="004F272A">
              <w:rPr>
                <w:rFonts w:ascii="Arial" w:hAnsi="Arial" w:cs="Arial"/>
                <w:sz w:val="24"/>
                <w:szCs w:val="24"/>
              </w:rPr>
              <w:lastRenderedPageBreak/>
              <w:t xml:space="preserve">Pinhais, Ponta Grossa e Cascavel, </w:t>
            </w:r>
            <w:r>
              <w:rPr>
                <w:rFonts w:ascii="Arial" w:hAnsi="Arial" w:cs="Arial"/>
                <w:sz w:val="24"/>
                <w:szCs w:val="24"/>
              </w:rPr>
              <w:t>para a realização de serviço não divisíve</w:t>
            </w:r>
            <w:r>
              <w:rPr>
                <w:rStyle w:val="Forte"/>
                <w:rFonts w:ascii="Arial" w:hAnsi="Arial" w:cs="Arial"/>
                <w:b w:val="0"/>
                <w:color w:val="000000"/>
                <w:sz w:val="24"/>
                <w:szCs w:val="24"/>
              </w:rPr>
              <w:t>l, é inaplicável o parcelamento por profissional/especialidade.</w:t>
            </w:r>
            <w:r>
              <w:rPr>
                <w:rFonts w:ascii="Arial" w:hAnsi="Arial" w:cs="Arial"/>
                <w:sz w:val="24"/>
                <w:szCs w:val="24"/>
              </w:rPr>
              <w:t xml:space="preserve"> Em caso de parcelamento, teríamos ainda duas ou mais empresas diferentes prestando o serviço, tornando extremamente difícil apurar responsabilidades em casos de falhas na execução.</w:t>
            </w:r>
          </w:p>
          <w:p w:rsidR="00F9568F" w:rsidRDefault="00F9568F">
            <w:pPr>
              <w:jc w:val="both"/>
            </w:pPr>
            <w:r>
              <w:rPr>
                <w:rStyle w:val="Forte"/>
                <w:rFonts w:ascii="Arial" w:hAnsi="Arial" w:cs="Arial"/>
                <w:b w:val="0"/>
                <w:color w:val="000000"/>
                <w:sz w:val="24"/>
                <w:szCs w:val="24"/>
              </w:rPr>
              <w:t>De acordo com entendimento do TCU, extraído do Acórdão 1214/2013 do Plenário, "deve ser evitado o parcelamento de serviços não especializados, a exemplo de limpeza, copeiragem, garçom, sendo objeto de parcelamento os serviços em que reste comprovado que as empresas atuam no mercado de forma segmentada por especialização, a exemplo de manutenção predial, ar condicionado, telefonia, serviços de engenharia em geral, áudio e vídeo, informática". Segundo o TCU, "para a realização do parcelamento do objeto em serviços de natureza continuada, dependerá da complexidade técnica envolvida. Assim, opta-se pelo não parcelamento quando se referir a objeto sem nenhuma complexidade técnica, a exemplo de limpeza, condução de veículos, recepção, e pelo parcelamento quando se tratar de serviços técnicos em que as empresas atuam de forma segmentada por especialização, a exemplo de manutenção predial, ar condicionado, telefonia, serviços de engenharia em geral, áudio e vídeo, informática. Trata-se, contudo, de procedimentos que devem ser avaliados em cada caso concreto".</w:t>
            </w:r>
          </w:p>
          <w:p w:rsidR="00F9568F" w:rsidRDefault="00F9568F">
            <w:pPr>
              <w:jc w:val="both"/>
            </w:pPr>
            <w:r>
              <w:rPr>
                <w:rFonts w:ascii="Arial" w:hAnsi="Arial" w:cs="Arial"/>
                <w:sz w:val="24"/>
                <w:szCs w:val="24"/>
              </w:rPr>
              <w:t>Do ponto de vista geográfico, entretanto, a contratação é por Setorial/cidade POLO.</w:t>
            </w:r>
          </w:p>
        </w:tc>
      </w:tr>
      <w:tr w:rsidR="00F9568F" w:rsidTr="0063732E">
        <w:trPr>
          <w:trHeight w:val="468"/>
        </w:trPr>
        <w:tc>
          <w:tcPr>
            <w:tcW w:w="11069" w:type="dxa"/>
            <w:gridSpan w:val="2"/>
            <w:tcBorders>
              <w:left w:val="single" w:sz="4" w:space="0" w:color="000000"/>
              <w:bottom w:val="single" w:sz="4" w:space="0" w:color="000000"/>
              <w:right w:val="single" w:sz="4" w:space="0" w:color="000000"/>
            </w:tcBorders>
            <w:shd w:val="clear" w:color="auto" w:fill="auto"/>
            <w:vAlign w:val="center"/>
          </w:tcPr>
          <w:p w:rsidR="00F9568F" w:rsidRDefault="00F9568F">
            <w:pPr>
              <w:widowControl w:val="0"/>
              <w:numPr>
                <w:ilvl w:val="0"/>
                <w:numId w:val="4"/>
              </w:numPr>
              <w:autoSpaceDE w:val="0"/>
              <w:spacing w:after="0" w:line="240" w:lineRule="auto"/>
              <w:jc w:val="center"/>
            </w:pPr>
            <w:r>
              <w:rPr>
                <w:rFonts w:ascii="Arial" w:hAnsi="Arial" w:cs="Arial"/>
                <w:b/>
                <w:sz w:val="24"/>
                <w:szCs w:val="24"/>
              </w:rPr>
              <w:lastRenderedPageBreak/>
              <w:t>Contratações correlatas ou interdependentes</w:t>
            </w:r>
          </w:p>
        </w:tc>
      </w:tr>
      <w:tr w:rsidR="00F9568F" w:rsidTr="0063732E">
        <w:trPr>
          <w:trHeight w:val="666"/>
        </w:trPr>
        <w:tc>
          <w:tcPr>
            <w:tcW w:w="11069" w:type="dxa"/>
            <w:gridSpan w:val="2"/>
            <w:tcBorders>
              <w:left w:val="single" w:sz="4" w:space="0" w:color="000000"/>
              <w:bottom w:val="single" w:sz="4" w:space="0" w:color="000000"/>
              <w:right w:val="single" w:sz="4" w:space="0" w:color="000000"/>
            </w:tcBorders>
            <w:shd w:val="clear" w:color="auto" w:fill="auto"/>
            <w:vAlign w:val="center"/>
          </w:tcPr>
          <w:p w:rsidR="00F9568F" w:rsidRDefault="00F9568F">
            <w:pPr>
              <w:widowControl w:val="0"/>
              <w:spacing w:after="120" w:line="240" w:lineRule="auto"/>
              <w:ind w:firstLine="33"/>
              <w:jc w:val="both"/>
            </w:pPr>
            <w:r>
              <w:rPr>
                <w:rFonts w:ascii="Arial" w:hAnsi="Arial" w:cs="Arial"/>
                <w:sz w:val="24"/>
                <w:szCs w:val="24"/>
              </w:rPr>
              <w:t>Não existem contratações correlatas ou interdependentes com o objeto da presente contratação.</w:t>
            </w:r>
          </w:p>
        </w:tc>
      </w:tr>
      <w:tr w:rsidR="00F9568F" w:rsidTr="0063732E">
        <w:trPr>
          <w:trHeight w:val="539"/>
        </w:trPr>
        <w:tc>
          <w:tcPr>
            <w:tcW w:w="110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568F" w:rsidRDefault="00F9568F">
            <w:pPr>
              <w:numPr>
                <w:ilvl w:val="0"/>
                <w:numId w:val="4"/>
              </w:numPr>
              <w:autoSpaceDE w:val="0"/>
              <w:spacing w:after="0" w:line="240" w:lineRule="auto"/>
              <w:jc w:val="center"/>
            </w:pPr>
            <w:r>
              <w:rPr>
                <w:rFonts w:ascii="Arial" w:hAnsi="Arial" w:cs="Arial"/>
                <w:b/>
                <w:sz w:val="24"/>
                <w:szCs w:val="24"/>
              </w:rPr>
              <w:t>Conexão entre a contratação e o planejamento estratégico do TRT 9ª Região</w:t>
            </w:r>
          </w:p>
        </w:tc>
      </w:tr>
      <w:tr w:rsidR="00F9568F" w:rsidTr="0063732E">
        <w:trPr>
          <w:trHeight w:val="1058"/>
        </w:trPr>
        <w:tc>
          <w:tcPr>
            <w:tcW w:w="110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A2B79" w:rsidRPr="001A2B79" w:rsidRDefault="001A2B79" w:rsidP="001A2B79">
            <w:pPr>
              <w:widowControl w:val="0"/>
              <w:autoSpaceDE w:val="0"/>
              <w:autoSpaceDN w:val="0"/>
              <w:adjustRightInd w:val="0"/>
              <w:spacing w:after="120"/>
              <w:ind w:firstLine="33"/>
              <w:jc w:val="both"/>
              <w:rPr>
                <w:rFonts w:eastAsia="Times New Roman"/>
              </w:rPr>
            </w:pPr>
            <w:r w:rsidRPr="001A2B79">
              <w:rPr>
                <w:rFonts w:ascii="Arial" w:eastAsia="Times New Roman" w:hAnsi="Arial" w:cs="Arial"/>
                <w:sz w:val="24"/>
                <w:szCs w:val="24"/>
              </w:rPr>
              <w:t>Consta no Plano Estratégico do Tribunal de 2021-2026:</w:t>
            </w:r>
          </w:p>
          <w:p w:rsidR="001A2B79" w:rsidRPr="001A2B79" w:rsidRDefault="001A2B79" w:rsidP="001A2B79">
            <w:pPr>
              <w:widowControl w:val="0"/>
              <w:autoSpaceDE w:val="0"/>
              <w:autoSpaceDN w:val="0"/>
              <w:adjustRightInd w:val="0"/>
              <w:spacing w:after="120"/>
              <w:ind w:firstLine="33"/>
              <w:jc w:val="both"/>
              <w:rPr>
                <w:rFonts w:eastAsia="Times New Roman"/>
              </w:rPr>
            </w:pPr>
            <w:r w:rsidRPr="001A2B79">
              <w:rPr>
                <w:rFonts w:ascii="Arial" w:eastAsia="Times New Roman" w:hAnsi="Arial" w:cs="Arial"/>
                <w:b/>
                <w:sz w:val="24"/>
                <w:szCs w:val="24"/>
              </w:rPr>
              <w:t>"</w:t>
            </w:r>
            <w:r w:rsidRPr="001A2B79">
              <w:rPr>
                <w:rFonts w:eastAsia="Times New Roman"/>
              </w:rPr>
              <w:t xml:space="preserve"> </w:t>
            </w:r>
            <w:r w:rsidRPr="001A2B79">
              <w:rPr>
                <w:rFonts w:ascii="Arial" w:eastAsia="Times New Roman" w:hAnsi="Arial" w:cs="Arial"/>
                <w:b/>
                <w:i/>
                <w:sz w:val="24"/>
                <w:szCs w:val="24"/>
              </w:rPr>
              <w:t>PERSPECTIVA APRENDIZADO E CRESCIMENTO”</w:t>
            </w:r>
          </w:p>
          <w:p w:rsidR="001A2B79" w:rsidRPr="001A2B79" w:rsidRDefault="001A2B79" w:rsidP="001A2B79">
            <w:pPr>
              <w:widowControl w:val="0"/>
              <w:autoSpaceDE w:val="0"/>
              <w:autoSpaceDN w:val="0"/>
              <w:adjustRightInd w:val="0"/>
              <w:spacing w:after="120"/>
              <w:ind w:left="33"/>
              <w:jc w:val="both"/>
              <w:rPr>
                <w:rFonts w:eastAsia="Times New Roman"/>
              </w:rPr>
            </w:pPr>
            <w:r w:rsidRPr="001A2B79">
              <w:rPr>
                <w:rFonts w:ascii="Arial" w:eastAsia="Times New Roman" w:hAnsi="Arial" w:cs="Arial"/>
                <w:b/>
                <w:i/>
                <w:sz w:val="24"/>
                <w:szCs w:val="24"/>
              </w:rPr>
              <w:t>OBJETIVO ESTRATÉGICO: APERFEIÇOAR A GESTÃO ORÇAMENTÁRIA E FINANCEIRA COM A OTIMIZAÇÃO DOS RECURSOS PLANEJADOS</w:t>
            </w:r>
            <w:r w:rsidRPr="001A2B79">
              <w:rPr>
                <w:rFonts w:ascii="Arial" w:eastAsia="Times New Roman" w:hAnsi="Arial" w:cs="Arial"/>
                <w:i/>
                <w:sz w:val="24"/>
                <w:szCs w:val="24"/>
              </w:rPr>
              <w:t xml:space="preserve"> </w:t>
            </w:r>
          </w:p>
          <w:p w:rsidR="001A2B79" w:rsidRDefault="001A2B79" w:rsidP="001A2B79">
            <w:pPr>
              <w:widowControl w:val="0"/>
              <w:spacing w:after="120"/>
              <w:ind w:firstLine="33"/>
              <w:jc w:val="both"/>
              <w:rPr>
                <w:rFonts w:ascii="Arial" w:eastAsia="Times New Roman" w:hAnsi="Arial" w:cs="Arial"/>
                <w:i/>
                <w:sz w:val="24"/>
                <w:szCs w:val="24"/>
              </w:rPr>
            </w:pPr>
            <w:r w:rsidRPr="001A2B79">
              <w:rPr>
                <w:rFonts w:ascii="Arial" w:eastAsia="Times New Roman" w:hAnsi="Arial" w:cs="Arial"/>
                <w:i/>
                <w:sz w:val="24"/>
                <w:szCs w:val="24"/>
              </w:rPr>
              <w:t>“Assegurar a eficiência da gestão de custos vinculada à estratégia, por meio do funcionamento aperfeiçoado de mecanismos de administração orçamentária e financeira, com dados íntegros sobre o planejamento e a qualidade da execução do orçamento”.</w:t>
            </w:r>
          </w:p>
          <w:p w:rsidR="00F9568F" w:rsidRPr="009A49AF" w:rsidRDefault="00F9568F" w:rsidP="001A2B79">
            <w:pPr>
              <w:widowControl w:val="0"/>
              <w:spacing w:after="120"/>
              <w:ind w:firstLine="33"/>
              <w:jc w:val="both"/>
              <w:rPr>
                <w:rFonts w:ascii="Arial" w:hAnsi="Arial" w:cs="Arial"/>
                <w:sz w:val="24"/>
                <w:szCs w:val="24"/>
              </w:rPr>
            </w:pPr>
            <w:r w:rsidRPr="009A49AF">
              <w:rPr>
                <w:rFonts w:ascii="Arial" w:hAnsi="Arial" w:cs="Arial"/>
                <w:sz w:val="24"/>
                <w:szCs w:val="24"/>
              </w:rPr>
              <w:t>Considera-se que a contratação dos postos de recepcionistas visa garantir condições ideais de trabalho, permitindo que servidores e magistrados se concentrem na entrega da missão Institucional, ou seja, solucionar os conflitos provenientes das relações trabalhistas com justiça e efetividade na entrega da prestação jurisdicional. Dessa forma, a contratação preenche, no caso concreto, os "Objetivos da Perspectiva Recursos: Aperfeiçoar a gestão de custos" do Plano Estratégico do Tribunal de 2015-2020.</w:t>
            </w:r>
          </w:p>
          <w:p w:rsidR="001A2B79" w:rsidRPr="009A49AF" w:rsidRDefault="001A2B79" w:rsidP="001A2B79">
            <w:pPr>
              <w:widowControl w:val="0"/>
              <w:spacing w:after="120"/>
              <w:jc w:val="both"/>
              <w:rPr>
                <w:rFonts w:ascii="Arial" w:hAnsi="Arial" w:cs="Arial"/>
                <w:sz w:val="24"/>
                <w:szCs w:val="24"/>
              </w:rPr>
            </w:pPr>
            <w:r w:rsidRPr="0063732E">
              <w:rPr>
                <w:rFonts w:ascii="Arial" w:hAnsi="Arial" w:cs="Arial"/>
                <w:sz w:val="24"/>
                <w:szCs w:val="24"/>
              </w:rPr>
              <w:t xml:space="preserve">A contratação dos serviços está prevista no sistema Vetor, processo </w:t>
            </w:r>
            <w:r w:rsidR="00BB1FF5" w:rsidRPr="00BB1FF5">
              <w:rPr>
                <w:rFonts w:ascii="Arial" w:hAnsi="Arial" w:cs="Arial"/>
                <w:sz w:val="24"/>
                <w:szCs w:val="24"/>
              </w:rPr>
              <w:t xml:space="preserve">Plano de Aquisições 2022 </w:t>
            </w:r>
            <w:r w:rsidR="00BB1FF5" w:rsidRPr="00BB1FF5">
              <w:rPr>
                <w:rFonts w:ascii="Arial" w:hAnsi="Arial" w:cs="Arial"/>
                <w:sz w:val="24"/>
                <w:szCs w:val="24"/>
              </w:rPr>
              <w:lastRenderedPageBreak/>
              <w:t>- SLC - Secretaria De Licitações E Contratos (SLC) (Proc. N° 266782)</w:t>
            </w:r>
            <w:r w:rsidRPr="0063732E">
              <w:rPr>
                <w:rFonts w:ascii="Arial" w:hAnsi="Arial" w:cs="Arial"/>
                <w:sz w:val="24"/>
                <w:szCs w:val="24"/>
              </w:rPr>
              <w:t>.</w:t>
            </w:r>
          </w:p>
          <w:p w:rsidR="00F9568F" w:rsidRDefault="00F9568F">
            <w:pPr>
              <w:widowControl w:val="0"/>
              <w:spacing w:after="120"/>
              <w:ind w:firstLine="33"/>
              <w:jc w:val="both"/>
            </w:pPr>
            <w:r w:rsidRPr="009A49AF">
              <w:rPr>
                <w:rFonts w:ascii="Arial" w:hAnsi="Arial" w:cs="Arial"/>
                <w:sz w:val="24"/>
                <w:szCs w:val="24"/>
              </w:rPr>
              <w:t>Finalmente, frise-se que não há política pública a ser atendida</w:t>
            </w:r>
            <w:r>
              <w:rPr>
                <w:rFonts w:ascii="Arial" w:hAnsi="Arial" w:cs="Arial"/>
                <w:sz w:val="24"/>
                <w:szCs w:val="24"/>
              </w:rPr>
              <w:t xml:space="preserve"> com a presente contratação.</w:t>
            </w:r>
          </w:p>
        </w:tc>
      </w:tr>
      <w:tr w:rsidR="00F9568F" w:rsidTr="0063732E">
        <w:trPr>
          <w:trHeight w:val="729"/>
        </w:trPr>
        <w:tc>
          <w:tcPr>
            <w:tcW w:w="110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568F" w:rsidRDefault="00F9568F" w:rsidP="003370B4">
            <w:pPr>
              <w:numPr>
                <w:ilvl w:val="0"/>
                <w:numId w:val="4"/>
              </w:numPr>
              <w:autoSpaceDE w:val="0"/>
              <w:spacing w:after="0" w:line="240" w:lineRule="auto"/>
              <w:jc w:val="both"/>
            </w:pPr>
            <w:r>
              <w:rPr>
                <w:rFonts w:ascii="Arial" w:hAnsi="Arial" w:cs="Arial"/>
                <w:b/>
                <w:sz w:val="24"/>
                <w:szCs w:val="24"/>
              </w:rPr>
              <w:lastRenderedPageBreak/>
              <w:t>Demonstrativo dos resultados pretendidos em termos de economicidade e de melhor aproveitamento dos recursos humanos, materiais ou financeiros disponíveis;</w:t>
            </w:r>
          </w:p>
        </w:tc>
      </w:tr>
      <w:tr w:rsidR="00F9568F" w:rsidTr="0063732E">
        <w:trPr>
          <w:trHeight w:val="240"/>
        </w:trPr>
        <w:tc>
          <w:tcPr>
            <w:tcW w:w="11069" w:type="dxa"/>
            <w:gridSpan w:val="2"/>
            <w:tcBorders>
              <w:top w:val="single" w:sz="4" w:space="0" w:color="000000"/>
              <w:left w:val="single" w:sz="4" w:space="0" w:color="000000"/>
              <w:bottom w:val="single" w:sz="4" w:space="0" w:color="000000"/>
              <w:right w:val="single" w:sz="4" w:space="0" w:color="000000"/>
            </w:tcBorders>
            <w:shd w:val="clear" w:color="auto" w:fill="auto"/>
          </w:tcPr>
          <w:p w:rsidR="004B0F67" w:rsidRDefault="00F9568F">
            <w:pPr>
              <w:widowControl w:val="0"/>
              <w:spacing w:after="120"/>
              <w:jc w:val="both"/>
              <w:rPr>
                <w:rFonts w:ascii="Arial" w:hAnsi="Arial" w:cs="Arial"/>
                <w:sz w:val="24"/>
                <w:szCs w:val="24"/>
              </w:rPr>
            </w:pPr>
            <w:r>
              <w:rPr>
                <w:rFonts w:ascii="Arial" w:hAnsi="Arial" w:cs="Arial"/>
                <w:sz w:val="24"/>
                <w:szCs w:val="24"/>
              </w:rPr>
              <w:t xml:space="preserve">Em termos de economicidade e de melhor aproveitamento dos recursos humanos, materiais ou financeiros disponíveis, tem-se que direcionar um servidor para o serviço em </w:t>
            </w:r>
            <w:r w:rsidRPr="00201305">
              <w:rPr>
                <w:rFonts w:ascii="Arial" w:hAnsi="Arial" w:cs="Arial"/>
                <w:sz w:val="24"/>
                <w:szCs w:val="24"/>
              </w:rPr>
              <w:t xml:space="preserve">questão não seria econômico na medida em que o custo médio de um posto de </w:t>
            </w:r>
            <w:r w:rsidRPr="00201305">
              <w:rPr>
                <w:rFonts w:ascii="Arial" w:hAnsi="Arial" w:cs="Arial"/>
                <w:color w:val="000000"/>
                <w:sz w:val="24"/>
                <w:szCs w:val="24"/>
              </w:rPr>
              <w:t>recepcionista é de R$ 4.</w:t>
            </w:r>
            <w:r w:rsidR="00201305" w:rsidRPr="00201305">
              <w:rPr>
                <w:rFonts w:ascii="Arial" w:hAnsi="Arial" w:cs="Arial"/>
                <w:color w:val="000000"/>
                <w:sz w:val="24"/>
                <w:szCs w:val="24"/>
              </w:rPr>
              <w:t>996,9</w:t>
            </w:r>
            <w:r w:rsidR="004D0969">
              <w:rPr>
                <w:rFonts w:ascii="Arial" w:hAnsi="Arial" w:cs="Arial"/>
                <w:color w:val="000000"/>
                <w:sz w:val="24"/>
                <w:szCs w:val="24"/>
              </w:rPr>
              <w:t>4</w:t>
            </w:r>
            <w:r w:rsidRPr="00201305">
              <w:rPr>
                <w:rFonts w:ascii="Arial" w:hAnsi="Arial" w:cs="Arial"/>
                <w:sz w:val="24"/>
                <w:szCs w:val="24"/>
              </w:rPr>
              <w:t xml:space="preserve">, sendo essa a média dos orçamentos pesquisados, </w:t>
            </w:r>
            <w:r w:rsidR="004B0F67" w:rsidRPr="00201305">
              <w:rPr>
                <w:rFonts w:ascii="Arial" w:hAnsi="Arial" w:cs="Arial"/>
                <w:sz w:val="24"/>
                <w:szCs w:val="24"/>
              </w:rPr>
              <w:t>e a remuneração do cargo efetivo</w:t>
            </w:r>
            <w:r w:rsidR="004B0F67">
              <w:rPr>
                <w:rFonts w:ascii="Arial" w:hAnsi="Arial" w:cs="Arial"/>
                <w:sz w:val="24"/>
                <w:szCs w:val="24"/>
              </w:rPr>
              <w:t xml:space="preserve"> dos servidores que exercem o cargo de técnico judiciário representa uma despesa mensal de no mínimo R$ 7.591,37, devendo-se somar a isto o custo relativo aos encargos previdenciários de 22% (teríamos que computar, ainda, o custo da reposição do servidor em caso de afastamentos legais, por exemplo, férias). O vencimento básico deste cargo é de R$ 3.163,07, o que somado à gratificação de atividade judiciária (GAJ) no valor de R$ 4.428,30 totaliza a remuneração acima citada de R$ 7.591,37, sem o cômputo de vantagens pecuniárias individuais. Tem-se ainda o auxílio alimentação de R$ 910,08 e o auxílio saúde de até R$ 1.013,49, valores estes sem o cômputo de vantagens pessoais, tais como, Adicional de Qualificação, VPNI, etc.</w:t>
            </w:r>
          </w:p>
          <w:p w:rsidR="00F9568F" w:rsidRDefault="00F9568F">
            <w:pPr>
              <w:widowControl w:val="0"/>
              <w:spacing w:after="120"/>
              <w:jc w:val="both"/>
            </w:pPr>
            <w:r>
              <w:rPr>
                <w:rFonts w:ascii="Arial" w:hAnsi="Arial" w:cs="Arial"/>
                <w:sz w:val="24"/>
                <w:szCs w:val="24"/>
              </w:rPr>
              <w:t>Dado o exposto, conclui-se que a presente contratação destina-se a garantir a melhora da prestação jurisdicional à sociedade por meio de solução (terceirização ao invés da execução dos serviços por servidor público) mais eficiente e eficaz disponível.</w:t>
            </w:r>
          </w:p>
        </w:tc>
      </w:tr>
      <w:tr w:rsidR="00F9568F" w:rsidTr="0063732E">
        <w:trPr>
          <w:trHeight w:val="404"/>
        </w:trPr>
        <w:tc>
          <w:tcPr>
            <w:tcW w:w="11069" w:type="dxa"/>
            <w:gridSpan w:val="2"/>
            <w:tcBorders>
              <w:top w:val="single" w:sz="4" w:space="0" w:color="000000"/>
              <w:left w:val="single" w:sz="4" w:space="0" w:color="000000"/>
              <w:bottom w:val="single" w:sz="4" w:space="0" w:color="000000"/>
              <w:right w:val="single" w:sz="4" w:space="0" w:color="000000"/>
            </w:tcBorders>
            <w:shd w:val="clear" w:color="auto" w:fill="auto"/>
          </w:tcPr>
          <w:p w:rsidR="00F9568F" w:rsidRDefault="00F9568F">
            <w:pPr>
              <w:numPr>
                <w:ilvl w:val="0"/>
                <w:numId w:val="4"/>
              </w:numPr>
              <w:spacing w:after="0"/>
              <w:jc w:val="center"/>
            </w:pPr>
            <w:r>
              <w:rPr>
                <w:rFonts w:ascii="Arial" w:hAnsi="Arial" w:cs="Arial"/>
                <w:b/>
                <w:sz w:val="24"/>
                <w:szCs w:val="24"/>
              </w:rPr>
              <w:t>Providências para adequação do ambiente do órgão;</w:t>
            </w:r>
          </w:p>
        </w:tc>
      </w:tr>
      <w:tr w:rsidR="00F9568F" w:rsidTr="0063732E">
        <w:trPr>
          <w:trHeight w:val="240"/>
        </w:trPr>
        <w:tc>
          <w:tcPr>
            <w:tcW w:w="11069" w:type="dxa"/>
            <w:gridSpan w:val="2"/>
            <w:tcBorders>
              <w:top w:val="single" w:sz="4" w:space="0" w:color="000000"/>
              <w:left w:val="single" w:sz="4" w:space="0" w:color="000000"/>
              <w:bottom w:val="single" w:sz="4" w:space="0" w:color="000000"/>
              <w:right w:val="single" w:sz="4" w:space="0" w:color="000000"/>
            </w:tcBorders>
            <w:shd w:val="clear" w:color="auto" w:fill="auto"/>
          </w:tcPr>
          <w:p w:rsidR="00F9568F" w:rsidRDefault="00F9568F">
            <w:pPr>
              <w:widowControl w:val="0"/>
              <w:spacing w:after="120"/>
              <w:ind w:firstLine="33"/>
              <w:jc w:val="both"/>
            </w:pPr>
            <w:r>
              <w:rPr>
                <w:rFonts w:ascii="Arial" w:hAnsi="Arial" w:cs="Arial"/>
                <w:sz w:val="24"/>
                <w:szCs w:val="24"/>
              </w:rPr>
              <w:t>Não serão necessárias adequações na Unidade do Tribunal, tampouco será necessária capacitação dos servidores responsáveis pela contratação e fiscalização do contrato.</w:t>
            </w:r>
          </w:p>
        </w:tc>
      </w:tr>
      <w:tr w:rsidR="00F9568F" w:rsidTr="0063732E">
        <w:trPr>
          <w:trHeight w:val="417"/>
        </w:trPr>
        <w:tc>
          <w:tcPr>
            <w:tcW w:w="11069" w:type="dxa"/>
            <w:gridSpan w:val="2"/>
            <w:tcBorders>
              <w:left w:val="single" w:sz="4" w:space="0" w:color="000000"/>
              <w:bottom w:val="single" w:sz="4" w:space="0" w:color="000000"/>
              <w:right w:val="single" w:sz="4" w:space="0" w:color="000000"/>
            </w:tcBorders>
            <w:shd w:val="clear" w:color="auto" w:fill="auto"/>
          </w:tcPr>
          <w:p w:rsidR="00F9568F" w:rsidRDefault="00F9568F">
            <w:pPr>
              <w:widowControl w:val="0"/>
              <w:numPr>
                <w:ilvl w:val="0"/>
                <w:numId w:val="4"/>
              </w:numPr>
              <w:spacing w:after="0"/>
              <w:ind w:left="714" w:hanging="357"/>
              <w:jc w:val="center"/>
            </w:pPr>
            <w:r>
              <w:rPr>
                <w:rFonts w:ascii="Arial" w:hAnsi="Arial" w:cs="Arial"/>
                <w:b/>
                <w:sz w:val="24"/>
                <w:szCs w:val="24"/>
              </w:rPr>
              <w:t>Possíveis impactos ambientais</w:t>
            </w:r>
          </w:p>
        </w:tc>
      </w:tr>
      <w:tr w:rsidR="00F9568F" w:rsidTr="0063732E">
        <w:trPr>
          <w:trHeight w:val="240"/>
        </w:trPr>
        <w:tc>
          <w:tcPr>
            <w:tcW w:w="11069" w:type="dxa"/>
            <w:gridSpan w:val="2"/>
            <w:tcBorders>
              <w:left w:val="single" w:sz="4" w:space="0" w:color="000000"/>
              <w:bottom w:val="single" w:sz="4" w:space="0" w:color="000000"/>
              <w:right w:val="single" w:sz="4" w:space="0" w:color="000000"/>
            </w:tcBorders>
            <w:shd w:val="clear" w:color="auto" w:fill="auto"/>
          </w:tcPr>
          <w:p w:rsidR="00F9568F" w:rsidRDefault="00F9568F">
            <w:pPr>
              <w:widowControl w:val="0"/>
              <w:snapToGrid w:val="0"/>
              <w:spacing w:after="120"/>
              <w:jc w:val="both"/>
            </w:pPr>
            <w:r>
              <w:rPr>
                <w:rFonts w:ascii="Arial" w:hAnsi="Arial" w:cs="Arial"/>
                <w:sz w:val="24"/>
                <w:szCs w:val="24"/>
              </w:rPr>
              <w:t>Não há a previsão de impactos ambientais decorrentes da presente contratação.</w:t>
            </w:r>
          </w:p>
        </w:tc>
      </w:tr>
      <w:tr w:rsidR="00F9568F" w:rsidTr="0063732E">
        <w:trPr>
          <w:trHeight w:val="412"/>
        </w:trPr>
        <w:tc>
          <w:tcPr>
            <w:tcW w:w="110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568F" w:rsidRDefault="00F9568F">
            <w:pPr>
              <w:numPr>
                <w:ilvl w:val="0"/>
                <w:numId w:val="4"/>
              </w:numPr>
              <w:spacing w:after="0"/>
              <w:ind w:left="714" w:hanging="357"/>
              <w:jc w:val="center"/>
            </w:pPr>
            <w:r>
              <w:rPr>
                <w:rFonts w:ascii="Arial" w:hAnsi="Arial" w:cs="Arial"/>
                <w:b/>
                <w:sz w:val="24"/>
                <w:szCs w:val="24"/>
              </w:rPr>
              <w:t>Viabilidade e razoabilidade da contratação</w:t>
            </w:r>
          </w:p>
        </w:tc>
      </w:tr>
      <w:tr w:rsidR="00F9568F" w:rsidTr="0063732E">
        <w:trPr>
          <w:trHeight w:val="240"/>
        </w:trPr>
        <w:tc>
          <w:tcPr>
            <w:tcW w:w="11069" w:type="dxa"/>
            <w:gridSpan w:val="2"/>
            <w:tcBorders>
              <w:top w:val="single" w:sz="4" w:space="0" w:color="000000"/>
              <w:left w:val="single" w:sz="4" w:space="0" w:color="000000"/>
              <w:bottom w:val="single" w:sz="4" w:space="0" w:color="000000"/>
              <w:right w:val="single" w:sz="4" w:space="0" w:color="000000"/>
            </w:tcBorders>
            <w:shd w:val="clear" w:color="auto" w:fill="auto"/>
          </w:tcPr>
          <w:p w:rsidR="00F9568F" w:rsidRDefault="00F9568F">
            <w:pPr>
              <w:autoSpaceDE w:val="0"/>
              <w:spacing w:after="303" w:line="240" w:lineRule="auto"/>
              <w:jc w:val="both"/>
            </w:pPr>
            <w:r>
              <w:rPr>
                <w:rFonts w:ascii="Arial" w:hAnsi="Arial" w:cs="Arial"/>
                <w:color w:val="000000"/>
                <w:sz w:val="24"/>
                <w:szCs w:val="24"/>
                <w:lang w:eastAsia="pt-BR"/>
              </w:rPr>
              <w:t xml:space="preserve">Após este estudo preliminar, verificamos que o serviço objeto desta contratação é fundamental para um bom desempenho das atividades regulares dos servidores, membros e demais pessoas que frequentam diariamente o órgão. Com esta contratação será possível conciliar menores custos e o atendimento adequado das necessidades da Administração, isto posto constatamos, portanto, que é uma contratação viável e razoável. Será consignado a existência de orçamento disponível para a contratação. </w:t>
            </w:r>
          </w:p>
        </w:tc>
      </w:tr>
      <w:tr w:rsidR="00F9568F" w:rsidTr="0063732E">
        <w:trPr>
          <w:trHeight w:val="767"/>
        </w:trPr>
        <w:tc>
          <w:tcPr>
            <w:tcW w:w="31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9568F" w:rsidRDefault="00F9568F">
            <w:pPr>
              <w:spacing w:after="0" w:line="240" w:lineRule="auto"/>
              <w:jc w:val="center"/>
            </w:pPr>
            <w:r>
              <w:rPr>
                <w:rFonts w:ascii="Arial" w:hAnsi="Arial" w:cs="Arial"/>
                <w:b/>
                <w:sz w:val="24"/>
                <w:szCs w:val="24"/>
              </w:rPr>
              <w:t>Pesquisa</w:t>
            </w:r>
          </w:p>
        </w:tc>
        <w:tc>
          <w:tcPr>
            <w:tcW w:w="7882" w:type="dxa"/>
            <w:tcBorders>
              <w:top w:val="single" w:sz="4" w:space="0" w:color="000000"/>
              <w:left w:val="single" w:sz="4" w:space="0" w:color="000000"/>
              <w:bottom w:val="single" w:sz="4" w:space="0" w:color="000000"/>
              <w:right w:val="single" w:sz="4" w:space="0" w:color="000000"/>
            </w:tcBorders>
            <w:shd w:val="clear" w:color="auto" w:fill="auto"/>
          </w:tcPr>
          <w:p w:rsidR="00F9568F" w:rsidRDefault="00F9568F">
            <w:pPr>
              <w:ind w:right="120"/>
              <w:jc w:val="both"/>
            </w:pPr>
            <w:r>
              <w:rPr>
                <w:rFonts w:ascii="Arial" w:hAnsi="Arial" w:cs="Arial"/>
                <w:szCs w:val="20"/>
              </w:rPr>
              <w:t xml:space="preserve">- </w:t>
            </w:r>
            <w:r>
              <w:rPr>
                <w:rFonts w:ascii="Arial" w:hAnsi="Arial" w:cs="Arial"/>
                <w:sz w:val="24"/>
                <w:szCs w:val="24"/>
              </w:rPr>
              <w:t>Convenção Coletiva de Trabalho do Sindicato das Empresas de Asseio e Conservação no Estad</w:t>
            </w:r>
            <w:r w:rsidR="006A63B9">
              <w:rPr>
                <w:rFonts w:ascii="Arial" w:hAnsi="Arial" w:cs="Arial"/>
                <w:sz w:val="24"/>
                <w:szCs w:val="24"/>
              </w:rPr>
              <w:t>o</w:t>
            </w:r>
            <w:r>
              <w:rPr>
                <w:rFonts w:ascii="Arial" w:hAnsi="Arial" w:cs="Arial"/>
                <w:sz w:val="24"/>
                <w:szCs w:val="24"/>
              </w:rPr>
              <w:t xml:space="preserve"> do PR (SIEMACO)</w:t>
            </w:r>
            <w:r w:rsidR="009E7E87">
              <w:rPr>
                <w:rFonts w:ascii="Arial" w:hAnsi="Arial" w:cs="Arial"/>
                <w:sz w:val="24"/>
                <w:szCs w:val="24"/>
              </w:rPr>
              <w:t xml:space="preserve"> </w:t>
            </w:r>
            <w:r w:rsidR="006A63B9">
              <w:rPr>
                <w:rFonts w:ascii="Arial" w:hAnsi="Arial" w:cs="Arial"/>
                <w:sz w:val="24"/>
                <w:szCs w:val="24"/>
              </w:rPr>
              <w:t>–</w:t>
            </w:r>
            <w:r w:rsidR="009E7E87">
              <w:rPr>
                <w:rFonts w:ascii="Arial" w:hAnsi="Arial" w:cs="Arial"/>
                <w:sz w:val="24"/>
                <w:szCs w:val="24"/>
              </w:rPr>
              <w:t xml:space="preserve"> 2022</w:t>
            </w:r>
            <w:r w:rsidR="006A63B9">
              <w:rPr>
                <w:rFonts w:ascii="Arial" w:hAnsi="Arial" w:cs="Arial"/>
                <w:sz w:val="24"/>
                <w:szCs w:val="24"/>
              </w:rPr>
              <w:t>-2024</w:t>
            </w:r>
            <w:r>
              <w:rPr>
                <w:rFonts w:ascii="Arial" w:hAnsi="Arial" w:cs="Arial"/>
                <w:sz w:val="24"/>
                <w:szCs w:val="24"/>
              </w:rPr>
              <w:t>;</w:t>
            </w:r>
          </w:p>
          <w:p w:rsidR="00F9568F" w:rsidRDefault="00F9568F">
            <w:pPr>
              <w:ind w:right="120"/>
              <w:jc w:val="both"/>
            </w:pPr>
            <w:r>
              <w:rPr>
                <w:rFonts w:ascii="Arial" w:hAnsi="Arial" w:cs="Arial"/>
                <w:szCs w:val="20"/>
              </w:rPr>
              <w:lastRenderedPageBreak/>
              <w:t>- Mapa de Riscos;</w:t>
            </w:r>
          </w:p>
          <w:p w:rsidR="00F9568F" w:rsidRDefault="00F9568F">
            <w:pPr>
              <w:jc w:val="both"/>
            </w:pPr>
            <w:r>
              <w:rPr>
                <w:rFonts w:ascii="Arial" w:hAnsi="Arial" w:cs="Arial"/>
                <w:szCs w:val="20"/>
              </w:rPr>
              <w:t>- Anexos dos Estudos Preliminares: (CBO - Classificação Brasileira de Ocupações);</w:t>
            </w:r>
          </w:p>
          <w:p w:rsidR="00F9568F" w:rsidRDefault="00F9568F">
            <w:pPr>
              <w:ind w:right="120"/>
              <w:jc w:val="both"/>
            </w:pPr>
            <w:r>
              <w:rPr>
                <w:rFonts w:ascii="Arial" w:hAnsi="Arial" w:cs="Arial"/>
                <w:szCs w:val="20"/>
              </w:rPr>
              <w:t>- Planilha da estimativa de gastos;</w:t>
            </w:r>
          </w:p>
          <w:p w:rsidR="00F9568F" w:rsidRDefault="00F9568F">
            <w:pPr>
              <w:ind w:right="120"/>
              <w:jc w:val="both"/>
            </w:pPr>
            <w:r>
              <w:rPr>
                <w:rFonts w:ascii="Arial" w:hAnsi="Arial" w:cs="Arial"/>
                <w:szCs w:val="20"/>
              </w:rPr>
              <w:t>- Planilha modelo de custos, uniforme, equipamentos;</w:t>
            </w:r>
          </w:p>
          <w:p w:rsidR="00F9568F" w:rsidRDefault="00F9568F">
            <w:pPr>
              <w:ind w:right="120"/>
              <w:jc w:val="both"/>
            </w:pPr>
            <w:r>
              <w:rPr>
                <w:rFonts w:ascii="Arial" w:hAnsi="Arial" w:cs="Arial"/>
                <w:szCs w:val="20"/>
              </w:rPr>
              <w:t>- Pesquisa de Preços;</w:t>
            </w:r>
          </w:p>
          <w:p w:rsidR="00F9568F" w:rsidRDefault="00F9568F">
            <w:pPr>
              <w:ind w:right="120"/>
              <w:jc w:val="both"/>
            </w:pPr>
            <w:r>
              <w:rPr>
                <w:rFonts w:ascii="Arial" w:hAnsi="Arial" w:cs="Arial"/>
                <w:szCs w:val="20"/>
              </w:rPr>
              <w:t>- Tabela comparativa de preços;</w:t>
            </w:r>
          </w:p>
          <w:p w:rsidR="00F9568F" w:rsidRDefault="00F9568F">
            <w:pPr>
              <w:ind w:right="120"/>
              <w:jc w:val="both"/>
              <w:rPr>
                <w:rFonts w:ascii="Arial" w:hAnsi="Arial" w:cs="Arial"/>
                <w:color w:val="000000"/>
                <w:szCs w:val="20"/>
              </w:rPr>
            </w:pPr>
            <w:r>
              <w:rPr>
                <w:rFonts w:ascii="Arial" w:hAnsi="Arial" w:cs="Arial"/>
                <w:szCs w:val="20"/>
              </w:rPr>
              <w:t>- Despacho ADG 5</w:t>
            </w:r>
            <w:r>
              <w:rPr>
                <w:rFonts w:ascii="Arial" w:hAnsi="Arial" w:cs="Arial"/>
                <w:color w:val="000000"/>
                <w:szCs w:val="20"/>
              </w:rPr>
              <w:t>12/2021</w:t>
            </w:r>
            <w:r w:rsidR="009E7E87">
              <w:rPr>
                <w:rFonts w:ascii="Arial" w:hAnsi="Arial" w:cs="Arial"/>
                <w:color w:val="000000"/>
                <w:szCs w:val="20"/>
              </w:rPr>
              <w:t xml:space="preserve">; </w:t>
            </w:r>
          </w:p>
          <w:p w:rsidR="009E7E87" w:rsidRDefault="0063732E">
            <w:pPr>
              <w:ind w:right="120"/>
              <w:jc w:val="both"/>
            </w:pPr>
            <w:r>
              <w:rPr>
                <w:rFonts w:ascii="Arial" w:hAnsi="Arial" w:cs="Arial"/>
                <w:color w:val="000000"/>
                <w:szCs w:val="20"/>
              </w:rPr>
              <w:t>- Despacho ADG 213/2022.</w:t>
            </w:r>
          </w:p>
        </w:tc>
      </w:tr>
    </w:tbl>
    <w:p w:rsidR="00F9568F" w:rsidRDefault="00F9568F">
      <w:pPr>
        <w:spacing w:after="0" w:line="240" w:lineRule="auto"/>
        <w:rPr>
          <w:rFonts w:ascii="Arial" w:hAnsi="Arial" w:cs="Arial"/>
        </w:rPr>
      </w:pPr>
    </w:p>
    <w:p w:rsidR="00F9568F" w:rsidRDefault="00F9568F">
      <w:pPr>
        <w:spacing w:after="0" w:line="240" w:lineRule="auto"/>
        <w:rPr>
          <w:rFonts w:ascii="Arial" w:hAnsi="Arial" w:cs="Arial"/>
        </w:rPr>
      </w:pPr>
    </w:p>
    <w:p w:rsidR="00F9568F" w:rsidRDefault="00F9568F">
      <w:pPr>
        <w:spacing w:after="0" w:line="240" w:lineRule="auto"/>
      </w:pPr>
      <w:r>
        <w:rPr>
          <w:rFonts w:ascii="Arial" w:hAnsi="Arial" w:cs="Arial"/>
        </w:rPr>
        <w:t>Equipe de Planejamento da contratação:</w:t>
      </w:r>
    </w:p>
    <w:p w:rsidR="00F9568F" w:rsidRDefault="00F9568F">
      <w:pPr>
        <w:spacing w:after="0" w:line="240" w:lineRule="auto"/>
        <w:rPr>
          <w:rFonts w:ascii="Arial" w:hAnsi="Arial" w:cs="Arial"/>
        </w:rPr>
      </w:pPr>
    </w:p>
    <w:p w:rsidR="00F9568F" w:rsidRDefault="00F9568F">
      <w:pPr>
        <w:spacing w:after="0" w:line="240" w:lineRule="auto"/>
      </w:pPr>
      <w:r>
        <w:rPr>
          <w:rFonts w:ascii="Arial" w:hAnsi="Arial" w:cs="Arial"/>
        </w:rPr>
        <w:t>M</w:t>
      </w:r>
      <w:r>
        <w:rPr>
          <w:rFonts w:ascii="Arial" w:hAnsi="Arial" w:cs="Arial"/>
          <w:color w:val="000000"/>
        </w:rPr>
        <w:t>ÁRCIO DOS SANTOS HIDALGO</w:t>
      </w:r>
    </w:p>
    <w:p w:rsidR="00F9568F" w:rsidRDefault="00F9568F">
      <w:pPr>
        <w:spacing w:after="0" w:line="240" w:lineRule="auto"/>
        <w:rPr>
          <w:rFonts w:ascii="Arial" w:hAnsi="Arial" w:cs="Arial"/>
          <w:color w:val="C9211E"/>
        </w:rPr>
      </w:pPr>
    </w:p>
    <w:p w:rsidR="00F9568F" w:rsidRDefault="00F9568F">
      <w:pPr>
        <w:spacing w:after="0" w:line="240" w:lineRule="auto"/>
        <w:rPr>
          <w:rFonts w:ascii="Arial" w:hAnsi="Arial" w:cs="Arial"/>
          <w:color w:val="000000"/>
        </w:rPr>
      </w:pPr>
      <w:r>
        <w:rPr>
          <w:rFonts w:ascii="Arial" w:hAnsi="Arial" w:cs="Arial"/>
          <w:color w:val="000000"/>
        </w:rPr>
        <w:t>FERNANDA DE ALMEIDA SANTANA</w:t>
      </w:r>
    </w:p>
    <w:p w:rsidR="00824828" w:rsidRDefault="00824828">
      <w:pPr>
        <w:spacing w:after="0" w:line="240" w:lineRule="auto"/>
        <w:rPr>
          <w:rFonts w:ascii="Arial" w:hAnsi="Arial" w:cs="Arial"/>
          <w:color w:val="000000"/>
        </w:rPr>
      </w:pPr>
    </w:p>
    <w:p w:rsidR="00824828" w:rsidRDefault="00824828">
      <w:pPr>
        <w:spacing w:after="0" w:line="240" w:lineRule="auto"/>
      </w:pPr>
      <w:r>
        <w:rPr>
          <w:rFonts w:ascii="Arial" w:hAnsi="Arial" w:cs="Arial"/>
          <w:color w:val="000000"/>
        </w:rPr>
        <w:t>ADRIANO FERREIRA RAMOS</w:t>
      </w:r>
    </w:p>
    <w:sectPr w:rsidR="00824828">
      <w:headerReference w:type="default" r:id="rId7"/>
      <w:footerReference w:type="default" r:id="rId8"/>
      <w:headerReference w:type="first" r:id="rId9"/>
      <w:footerReference w:type="first" r:id="rId10"/>
      <w:pgSz w:w="11906" w:h="16838"/>
      <w:pgMar w:top="1816" w:right="1134" w:bottom="1134" w:left="1701" w:header="720"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1032" w:rsidRDefault="00C81032">
      <w:pPr>
        <w:spacing w:after="0" w:line="240" w:lineRule="auto"/>
      </w:pPr>
      <w:r>
        <w:separator/>
      </w:r>
    </w:p>
  </w:endnote>
  <w:endnote w:type="continuationSeparator" w:id="0">
    <w:p w:rsidR="00C81032" w:rsidRDefault="00C810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Lucida Sans">
    <w:altName w:val="Times New Roman"/>
    <w:charset w:val="00"/>
    <w:family w:val="swiss"/>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568F" w:rsidRDefault="004A4583">
    <w:pPr>
      <w:pStyle w:val="Cabealho"/>
      <w:ind w:right="424"/>
    </w:pPr>
    <w:r>
      <w:rPr>
        <w:noProof/>
        <w:lang w:eastAsia="pt-BR"/>
      </w:rPr>
      <mc:AlternateContent>
        <mc:Choice Requires="wps">
          <w:drawing>
            <wp:anchor distT="0" distB="0" distL="0" distR="0" simplePos="0" relativeHeight="251656704" behindDoc="0" locked="0" layoutInCell="1" allowOverlap="1">
              <wp:simplePos x="0" y="0"/>
              <wp:positionH relativeFrom="page">
                <wp:posOffset>6840220</wp:posOffset>
              </wp:positionH>
              <wp:positionV relativeFrom="paragraph">
                <wp:posOffset>635</wp:posOffset>
              </wp:positionV>
              <wp:extent cx="51435" cy="133985"/>
              <wp:effectExtent l="1270" t="635" r="4445" b="8255"/>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 cy="13398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9568F" w:rsidRDefault="00F9568F">
                          <w:pPr>
                            <w:pStyle w:val="Rodap"/>
                          </w:pPr>
                          <w:r>
                            <w:rPr>
                              <w:rStyle w:val="Nmerodepgina"/>
                            </w:rPr>
                            <w:fldChar w:fldCharType="begin"/>
                          </w:r>
                          <w:r>
                            <w:rPr>
                              <w:rStyle w:val="Nmerodepgina"/>
                            </w:rPr>
                            <w:instrText xml:space="preserve"> PAGE </w:instrText>
                          </w:r>
                          <w:r>
                            <w:rPr>
                              <w:rStyle w:val="Nmerodepgina"/>
                            </w:rPr>
                            <w:fldChar w:fldCharType="separate"/>
                          </w:r>
                          <w:r w:rsidR="00BF5BD6">
                            <w:rPr>
                              <w:rStyle w:val="Nmerodepgina"/>
                              <w:noProof/>
                            </w:rPr>
                            <w:t>1</w:t>
                          </w:r>
                          <w:r>
                            <w:rPr>
                              <w:rStyle w:val="Nmerodepgina"/>
                            </w:rPr>
                            <w:fldChar w:fldCharType="end"/>
                          </w:r>
                        </w:p>
                      </w:txbxContent>
                    </wps:txbx>
                    <wps:bodyPr rot="0" vert="horz" wrap="square" lIns="12065" tIns="12065" rIns="12065" bIns="12065"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538.6pt;margin-top:.05pt;width:4.05pt;height:10.55pt;z-index:2516567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ogdkAIAADEFAAAOAAAAZHJzL2Uyb0RvYy54bWysVNuO2yAQfa/Uf0C8Z31ZJxtb66w22aaq&#10;tL1Iu/0AYnCMioECib2t+u8dIEmT9qWq6gfMwHDmzMyB27uxF2jPjOVK1ji7SjFislGUy22NPz+v&#10;J3OMrCOSEqEkq/ELs/hu8frV7aArlqtOCcoMAhBpq0HXuHNOV0lim471xF4pzSRstsr0xIFptgk1&#10;ZAD0XiR5ms6SQRmqjWqYtbD6EDfxIuC3LWvcx7a1zCFRY+DmwmjCuPFjsrgl1dYQ3fHmQIP8A4ue&#10;cAlBT1APxBG0M/wPqJ43RlnVuqtG9YlqW96wkANkk6W/ZfPUEc1CLlAcq09lsv8Ptvmw/2QQp9A7&#10;jCTpoUXPbHRoqUaU+eoM2lbg9KTBzY2w7D19plY/quaLRVKtOiK37N4YNXSMUGAXTiZnRyOO9SCb&#10;4b2iEIbsnApAY2t6DwjFQIAOXXo5dcZTaWBxmhXXU4wa2Mmur8v51FNLSHU8q411b5nqkZ/U2EDf&#10;AzbZP1oXXY8ugbsSnK65EMEw281KGLQnoJF1+OJZoTsSV4NOIJyNriG0PccQ0iNJ5TFjuLgC/IGA&#10;3/OZBEF8L7O8SJd5OVnP5jeTYl1MJ+VNOp+kWbksZ2lRFg/rH55BVlQdp5TJRy7ZUZxZ8XfNP1yT&#10;KKsgTzTUuJzm05DcBftDWodcU/8d6nvh1nMHd1XwvsbzkxOpfM/fSAppk8oRLuI8uaQfSgY1OP5D&#10;VYJCvCiiPNy4GYMU86PwNoq+gGSMgp6CLuCdgUmnzDeMBrizNbZfd8QwjMQ76WWXpzNQiTs3zLmx&#10;OTeIbACqxg6jOF25+DDstOHbDiJFoUt1D1JtedCR13RkBZl4A+5lyOnwhviLf24Hr18v3eInAAAA&#10;//8DAFBLAwQUAAYACAAAACEAdQV7i90AAAAJAQAADwAAAGRycy9kb3ducmV2LnhtbEyPy07DMBBF&#10;90j9B2sqsaN2gkqrEKeqKiGxQlBYsJzG0ySqH8F2msDX46xgeXWu7pwpd5PR7Eo+dM5KyFYCGNna&#10;qc42Ej7en+62wEJEq1A7SxK+KcCuWtyUWCg32je6HmPD0ogNBUpoY+wLzkPdksGwcj3ZxM7OG4wp&#10;+oYrj2MaN5rnQjxwg51NF1rs6dBSfTkORgI2l9eXn8PgR7XWX+es/xR7/Szl7XLaPwKLNMW/Msz6&#10;SR2q5HRyg1WB6ZTFZpOn7kzYzMV2fQ/sJCHPcuBVyf9/UP0CAAD//wMAUEsBAi0AFAAGAAgAAAAh&#10;ALaDOJL+AAAA4QEAABMAAAAAAAAAAAAAAAAAAAAAAFtDb250ZW50X1R5cGVzXS54bWxQSwECLQAU&#10;AAYACAAAACEAOP0h/9YAAACUAQAACwAAAAAAAAAAAAAAAAAvAQAAX3JlbHMvLnJlbHNQSwECLQAU&#10;AAYACAAAACEA+c6IHZACAAAxBQAADgAAAAAAAAAAAAAAAAAuAgAAZHJzL2Uyb0RvYy54bWxQSwEC&#10;LQAUAAYACAAAACEAdQV7i90AAAAJAQAADwAAAAAAAAAAAAAAAADqBAAAZHJzL2Rvd25yZXYueG1s&#10;UEsFBgAAAAAEAAQA8wAAAPQFAAAAAA==&#10;" stroked="f">
              <v:fill opacity="0"/>
              <v:textbox inset=".95pt,.95pt,.95pt,.95pt">
                <w:txbxContent>
                  <w:p w:rsidR="00F9568F" w:rsidRDefault="00F9568F">
                    <w:pPr>
                      <w:pStyle w:val="Rodap"/>
                    </w:pPr>
                    <w:r>
                      <w:rPr>
                        <w:rStyle w:val="Nmerodepgina"/>
                      </w:rPr>
                      <w:fldChar w:fldCharType="begin"/>
                    </w:r>
                    <w:r>
                      <w:rPr>
                        <w:rStyle w:val="Nmerodepgina"/>
                      </w:rPr>
                      <w:instrText xml:space="preserve"> PAGE </w:instrText>
                    </w:r>
                    <w:r>
                      <w:rPr>
                        <w:rStyle w:val="Nmerodepgina"/>
                      </w:rPr>
                      <w:fldChar w:fldCharType="separate"/>
                    </w:r>
                    <w:r w:rsidR="00BF5BD6">
                      <w:rPr>
                        <w:rStyle w:val="Nmerodepgina"/>
                        <w:noProof/>
                      </w:rPr>
                      <w:t>1</w:t>
                    </w:r>
                    <w:r>
                      <w:rPr>
                        <w:rStyle w:val="Nmerodepgina"/>
                      </w:rPr>
                      <w:fldChar w:fldCharType="end"/>
                    </w:r>
                  </w:p>
                </w:txbxContent>
              </v:textbox>
              <w10:wrap type="square" side="largest" anchorx="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568F" w:rsidRDefault="00F9568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1032" w:rsidRDefault="00C81032">
      <w:pPr>
        <w:spacing w:after="0" w:line="240" w:lineRule="auto"/>
      </w:pPr>
      <w:r>
        <w:separator/>
      </w:r>
    </w:p>
  </w:footnote>
  <w:footnote w:type="continuationSeparator" w:id="0">
    <w:p w:rsidR="00C81032" w:rsidRDefault="00C810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568F" w:rsidRDefault="004A4583">
    <w:pPr>
      <w:pStyle w:val="Cabealho"/>
      <w:jc w:val="both"/>
      <w:rPr>
        <w:rFonts w:ascii="Palatino Linotype" w:hAnsi="Palatino Linotype" w:cs="Palatino Linotype"/>
        <w:sz w:val="24"/>
        <w:lang w:eastAsia="pt-BR"/>
      </w:rPr>
    </w:pPr>
    <w:r>
      <w:rPr>
        <w:noProof/>
        <w:lang w:eastAsia="pt-BR"/>
      </w:rPr>
      <mc:AlternateContent>
        <mc:Choice Requires="wps">
          <w:drawing>
            <wp:anchor distT="0" distB="0" distL="114935" distR="114935" simplePos="0" relativeHeight="251657728" behindDoc="0" locked="0" layoutInCell="1" allowOverlap="1">
              <wp:simplePos x="0" y="0"/>
              <wp:positionH relativeFrom="page">
                <wp:posOffset>2055495</wp:posOffset>
              </wp:positionH>
              <wp:positionV relativeFrom="page">
                <wp:posOffset>371475</wp:posOffset>
              </wp:positionV>
              <wp:extent cx="3827780" cy="627380"/>
              <wp:effectExtent l="7620" t="0" r="3175"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7780" cy="6273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9568F" w:rsidRDefault="00F9568F">
                          <w:pPr>
                            <w:pStyle w:val="Ttulo1"/>
                            <w:tabs>
                              <w:tab w:val="right" w:pos="9072"/>
                            </w:tabs>
                            <w:jc w:val="both"/>
                          </w:pPr>
                          <w:r>
                            <w:rPr>
                              <w:b w:val="0"/>
                              <w:sz w:val="23"/>
                            </w:rPr>
                            <w:t>PODER JUDICIÁRIO</w:t>
                          </w:r>
                        </w:p>
                        <w:p w:rsidR="00F9568F" w:rsidRDefault="00F9568F">
                          <w:pPr>
                            <w:pStyle w:val="Ttulo1"/>
                            <w:tabs>
                              <w:tab w:val="right" w:pos="9072"/>
                            </w:tabs>
                            <w:jc w:val="both"/>
                          </w:pPr>
                          <w:r>
                            <w:rPr>
                              <w:b w:val="0"/>
                              <w:sz w:val="23"/>
                            </w:rPr>
                            <w:t>JUSTIÇA DO TRABALHO</w:t>
                          </w:r>
                        </w:p>
                        <w:p w:rsidR="00F9568F" w:rsidRDefault="00F9568F">
                          <w:pPr>
                            <w:pStyle w:val="Ttulo1"/>
                            <w:tabs>
                              <w:tab w:val="right" w:pos="9072"/>
                            </w:tabs>
                            <w:jc w:val="both"/>
                          </w:pPr>
                          <w:r>
                            <w:rPr>
                              <w:b w:val="0"/>
                              <w:sz w:val="23"/>
                            </w:rPr>
                            <w:t>TRIBUNAL REGIONAL DO TRABALHO DA 9.ª REGIÃO</w:t>
                          </w:r>
                        </w:p>
                      </w:txbxContent>
                    </wps:txbx>
                    <wps:bodyPr rot="0" vert="horz" wrap="square" lIns="15240" tIns="15240" rIns="15240" bIns="152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61.85pt;margin-top:29.25pt;width:301.4pt;height:49.4pt;z-index:251657728;visibility:visible;mso-wrap-style:square;mso-width-percent:0;mso-height-percent:0;mso-wrap-distance-left:9.05pt;mso-wrap-distance-top:0;mso-wrap-distance-right:9.0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wl3jAIAACwFAAAOAAAAZHJzL2Uyb0RvYy54bWysVNuO2yAQfa/Uf0C8Z31Z52JrndVemqrS&#10;9iLt9gMIxjEqBgok9nbVf+8ASTZpX6qqfsAMDGfmzBy4uh57gXbMWK5kjbOLFCMmqWq43NT469Nq&#10;ssDIOiIbIpRkNX5mFl8v3765GnTFctUp0TCDAETaatA17pzTVZJY2rGe2AulmYTNVpmeODDNJmkM&#10;GQC9F0meprNkUKbRRlFmLazex028DPhty6j73LaWOSRqDLm5MJowrv2YLK9ItTFEd5zu0yD/kEVP&#10;uISgR6h74gjaGv4HVM+pUVa17oKqPlFtyykLHIBNlv7G5rEjmgUuUByrj2Wy/w+Wftp9MYg3Nc4x&#10;kqSHFj2x0aFbNaLcV2fQtgKnRw1uboRl6HJgavWDot8skuquI3LDboxRQ8dIA9ll/mRycjTiWA+y&#10;Hj6qBsKQrVMBaGxN70sHxUCADl16PnbGp0Jh8XKRz+cL2KKwN8vnlzD3IUh1OK2Nde+Z6pGf1NhA&#10;5wM62T1YF10PLj6YVYI3Ky5EMMxmfScM2hFQySp88azQHYmrh3A2uobQZxhCeiSpPGYMF1eAASTg&#10;9zyXIImXMsuL9DYvJ6vZYj4pVsV0Us7TxSTNyttylhZlcb/66TPIiqrjTcPkA5fsIM+s+Lv27y9K&#10;FFYQKBpqXE7zaSB3lv2e1p5r6r99fc/ceu7gtgre13hxdCKV7/o72QBtUjnCRZwn5+mHkkENDv9Q&#10;laARL4soEDeuR0Dxwlmr5hnUYhQ0E/oOTwxMOmV+YDTAda2x/b4lhmEkPkivuCmUFO73qWFOjfWp&#10;QSQFqBo7jOL0zsU3YasN33QQKWpcqhtQacuDgF6zAgregCsZyOyfD3/nT+3g9frILX8BAAD//wMA&#10;UEsDBBQABgAIAAAAIQCzYiEh4QAAAAoBAAAPAAAAZHJzL2Rvd25yZXYueG1sTI/BTsMwDIbvSLxD&#10;ZCRuLKVd11GaTsDgsgkJNg4c08a0FY1TNdnWvT3mBDdb/vT7+4vVZHtxxNF3jhTcziIQSLUzHTUK&#10;PvYvN0sQPmgyuneECs7oYVVeXhQ6N+5E73jchUZwCPlcK2hDGHIpfd2i1X7mBiS+fbnR6sDr2Egz&#10;6hOH217GUbSQVnfEH1o94FOL9ffuYBW8rR9f59tpXH822bObu21X7Tdnpa6vpod7EAGn8AfDrz6r&#10;Q8lOlTuQ8aJXkMRJxqiCdJmCYOAuXvBQMZlmCciykP8rlD8AAAD//wMAUEsBAi0AFAAGAAgAAAAh&#10;ALaDOJL+AAAA4QEAABMAAAAAAAAAAAAAAAAAAAAAAFtDb250ZW50X1R5cGVzXS54bWxQSwECLQAU&#10;AAYACAAAACEAOP0h/9YAAACUAQAACwAAAAAAAAAAAAAAAAAvAQAAX3JlbHMvLnJlbHNQSwECLQAU&#10;AAYACAAAACEA2qMJd4wCAAAsBQAADgAAAAAAAAAAAAAAAAAuAgAAZHJzL2Uyb0RvYy54bWxQSwEC&#10;LQAUAAYACAAAACEAs2IhIeEAAAAKAQAADwAAAAAAAAAAAAAAAADmBAAAZHJzL2Rvd25yZXYueG1s&#10;UEsFBgAAAAAEAAQA8wAAAPQFAAAAAA==&#10;" stroked="f">
              <v:fill opacity="0"/>
              <v:textbox inset="1.2pt,1.2pt,1.2pt,1.2pt">
                <w:txbxContent>
                  <w:p w:rsidR="00F9568F" w:rsidRDefault="00F9568F">
                    <w:pPr>
                      <w:pStyle w:val="Ttulo1"/>
                      <w:tabs>
                        <w:tab w:val="right" w:pos="9072"/>
                      </w:tabs>
                      <w:jc w:val="both"/>
                    </w:pPr>
                    <w:r>
                      <w:rPr>
                        <w:b w:val="0"/>
                        <w:sz w:val="23"/>
                      </w:rPr>
                      <w:t>PODER JUDICIÁRIO</w:t>
                    </w:r>
                  </w:p>
                  <w:p w:rsidR="00F9568F" w:rsidRDefault="00F9568F">
                    <w:pPr>
                      <w:pStyle w:val="Ttulo1"/>
                      <w:tabs>
                        <w:tab w:val="right" w:pos="9072"/>
                      </w:tabs>
                      <w:jc w:val="both"/>
                    </w:pPr>
                    <w:r>
                      <w:rPr>
                        <w:b w:val="0"/>
                        <w:sz w:val="23"/>
                      </w:rPr>
                      <w:t>JUSTIÇA DO TRABALHO</w:t>
                    </w:r>
                  </w:p>
                  <w:p w:rsidR="00F9568F" w:rsidRDefault="00F9568F">
                    <w:pPr>
                      <w:pStyle w:val="Ttulo1"/>
                      <w:tabs>
                        <w:tab w:val="right" w:pos="9072"/>
                      </w:tabs>
                      <w:jc w:val="both"/>
                    </w:pPr>
                    <w:r>
                      <w:rPr>
                        <w:b w:val="0"/>
                        <w:sz w:val="23"/>
                      </w:rPr>
                      <w:t>TRIBUNAL REGIONAL DO TRABALHO DA 9.ª REGIÃO</w:t>
                    </w:r>
                  </w:p>
                </w:txbxContent>
              </v:textbox>
              <w10:wrap anchorx="page" anchory="page"/>
            </v:shape>
          </w:pict>
        </mc:Fallback>
      </mc:AlternateContent>
    </w:r>
    <w:r w:rsidR="00BF5BD6">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left:0;text-align:left;margin-left:2.1pt;margin-top:-10.95pt;width:63.8pt;height:63.8pt;z-index:251658752;mso-wrap-distance-left:9.05pt;mso-wrap-distance-right:9.05pt;mso-position-horizontal-relative:text;mso-position-vertical-relative:text" filled="t">
          <v:fill opacity="0" color2="black"/>
          <v:imagedata r:id="rId1" o:title="" croptop="-50f" cropbottom="-50f" cropleft="-50f" cropright="-50f"/>
          <w10:wrap type="topAndBottom"/>
        </v:shape>
        <o:OLEObject Type="Embed" ProgID="Word.Picture.8" ShapeID="_x0000_s2051" DrawAspect="Content" ObjectID="_1718022630" r:id="rId2"/>
      </w:object>
    </w:r>
  </w:p>
  <w:p w:rsidR="00F9568F" w:rsidRDefault="00F9568F">
    <w:pPr>
      <w:pStyle w:val="Cabealho"/>
      <w:rPr>
        <w:rFonts w:ascii="Palatino Linotype" w:hAnsi="Palatino Linotype" w:cs="Palatino Linotype"/>
        <w:sz w:val="24"/>
        <w:lang w:eastAsia="pt-B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568F" w:rsidRDefault="00F9568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lowerLetter"/>
      <w:lvlText w:val="%1)"/>
      <w:lvlJc w:val="left"/>
      <w:pPr>
        <w:tabs>
          <w:tab w:val="num" w:pos="0"/>
        </w:tabs>
        <w:ind w:left="393" w:hanging="360"/>
      </w:pPr>
      <w:rPr>
        <w:rFonts w:cs="Arial" w:hint="default"/>
      </w:rPr>
    </w:lvl>
  </w:abstractNum>
  <w:abstractNum w:abstractNumId="2" w15:restartNumberingAfterBreak="0">
    <w:nsid w:val="00000003"/>
    <w:multiLevelType w:val="multilevel"/>
    <w:tmpl w:val="00000003"/>
    <w:name w:val="WW8Num3"/>
    <w:lvl w:ilvl="0">
      <w:start w:val="1"/>
      <w:numFmt w:val="decimal"/>
      <w:pStyle w:val="Nivel1"/>
      <w:lvlText w:val="%1."/>
      <w:lvlJc w:val="left"/>
      <w:pPr>
        <w:tabs>
          <w:tab w:val="num" w:pos="0"/>
        </w:tabs>
        <w:ind w:left="644" w:hanging="360"/>
      </w:pPr>
      <w:rPr>
        <w:rFonts w:hint="default"/>
        <w:i w:val="0"/>
        <w:color w:val="000000"/>
      </w:rPr>
    </w:lvl>
    <w:lvl w:ilvl="1">
      <w:start w:val="1"/>
      <w:numFmt w:val="decimal"/>
      <w:lvlText w:val="%1.%2."/>
      <w:lvlJc w:val="left"/>
      <w:pPr>
        <w:tabs>
          <w:tab w:val="num" w:pos="0"/>
        </w:tabs>
        <w:ind w:left="716" w:hanging="432"/>
      </w:pPr>
      <w:rPr>
        <w:rFonts w:hint="default"/>
        <w:i w:val="0"/>
        <w:color w:val="000000"/>
        <w:lang w:val="x-none"/>
      </w:rPr>
    </w:lvl>
    <w:lvl w:ilvl="2">
      <w:start w:val="1"/>
      <w:numFmt w:val="decimal"/>
      <w:lvlText w:val="%1.%2.%3."/>
      <w:lvlJc w:val="left"/>
      <w:pPr>
        <w:tabs>
          <w:tab w:val="num" w:pos="0"/>
        </w:tabs>
        <w:ind w:left="1922" w:hanging="504"/>
      </w:pPr>
      <w:rPr>
        <w:rFonts w:hint="default"/>
      </w:rPr>
    </w:lvl>
    <w:lvl w:ilvl="3">
      <w:start w:val="1"/>
      <w:numFmt w:val="decimal"/>
      <w:lvlText w:val="%1.%2.%3.%4."/>
      <w:lvlJc w:val="left"/>
      <w:pPr>
        <w:tabs>
          <w:tab w:val="num" w:pos="0"/>
        </w:tabs>
        <w:ind w:left="2491" w:hanging="648"/>
      </w:pPr>
      <w:rPr>
        <w:rFonts w:hint="default"/>
        <w:i w:val="0"/>
      </w:rPr>
    </w:lvl>
    <w:lvl w:ilvl="4">
      <w:start w:val="1"/>
      <w:numFmt w:val="decimal"/>
      <w:lvlText w:val="%1.%2.%3.%4.%5."/>
      <w:lvlJc w:val="left"/>
      <w:pPr>
        <w:tabs>
          <w:tab w:val="num" w:pos="0"/>
        </w:tabs>
        <w:ind w:left="3485"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 w15:restartNumberingAfterBreak="0">
    <w:nsid w:val="00000004"/>
    <w:multiLevelType w:val="singleLevel"/>
    <w:tmpl w:val="00000004"/>
    <w:name w:val="WW8Num4"/>
    <w:lvl w:ilvl="0">
      <w:start w:val="1"/>
      <w:numFmt w:val="decimal"/>
      <w:lvlText w:val="%1."/>
      <w:lvlJc w:val="left"/>
      <w:pPr>
        <w:tabs>
          <w:tab w:val="num" w:pos="0"/>
        </w:tabs>
        <w:ind w:left="720" w:hanging="360"/>
      </w:pPr>
      <w:rPr>
        <w:rFonts w:ascii="Arial" w:hAnsi="Arial" w:cs="Arial" w:hint="default"/>
        <w:b/>
        <w:sz w:val="24"/>
      </w:rPr>
    </w:lvl>
  </w:abstractNum>
  <w:abstractNum w:abstractNumId="4" w15:restartNumberingAfterBreak="0">
    <w:nsid w:val="00000005"/>
    <w:multiLevelType w:val="singleLevel"/>
    <w:tmpl w:val="00000005"/>
    <w:name w:val="WW8Num5"/>
    <w:lvl w:ilvl="0">
      <w:start w:val="1"/>
      <w:numFmt w:val="bullet"/>
      <w:lvlText w:val=""/>
      <w:lvlJc w:val="left"/>
      <w:pPr>
        <w:tabs>
          <w:tab w:val="num" w:pos="0"/>
        </w:tabs>
        <w:ind w:left="753" w:hanging="360"/>
      </w:pPr>
      <w:rPr>
        <w:rFonts w:ascii="Symbol" w:hAnsi="Symbol" w:cs="Symbol"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4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30D9"/>
    <w:rsid w:val="00034AD2"/>
    <w:rsid w:val="00102166"/>
    <w:rsid w:val="00157900"/>
    <w:rsid w:val="001A2B79"/>
    <w:rsid w:val="00201305"/>
    <w:rsid w:val="00205E58"/>
    <w:rsid w:val="002F09BC"/>
    <w:rsid w:val="0032712C"/>
    <w:rsid w:val="003370B4"/>
    <w:rsid w:val="003561CA"/>
    <w:rsid w:val="003C59DC"/>
    <w:rsid w:val="004A4583"/>
    <w:rsid w:val="004B0F67"/>
    <w:rsid w:val="004D0969"/>
    <w:rsid w:val="004F0BEE"/>
    <w:rsid w:val="004F272A"/>
    <w:rsid w:val="005C696F"/>
    <w:rsid w:val="00624CBC"/>
    <w:rsid w:val="0063732E"/>
    <w:rsid w:val="006A63B9"/>
    <w:rsid w:val="007934D2"/>
    <w:rsid w:val="007C4C6E"/>
    <w:rsid w:val="007E75FD"/>
    <w:rsid w:val="00824828"/>
    <w:rsid w:val="0087131A"/>
    <w:rsid w:val="008E0D01"/>
    <w:rsid w:val="00975A2A"/>
    <w:rsid w:val="009A49AF"/>
    <w:rsid w:val="009E7E87"/>
    <w:rsid w:val="00A42195"/>
    <w:rsid w:val="00A87979"/>
    <w:rsid w:val="00AC30D9"/>
    <w:rsid w:val="00BB1FF5"/>
    <w:rsid w:val="00BF5BD6"/>
    <w:rsid w:val="00C72FC4"/>
    <w:rsid w:val="00C81032"/>
    <w:rsid w:val="00C81430"/>
    <w:rsid w:val="00F054A0"/>
    <w:rsid w:val="00F179D4"/>
    <w:rsid w:val="00F361A7"/>
    <w:rsid w:val="00F9568F"/>
    <w:rsid w:val="00FD2D2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oNotEmbedSmartTags/>
  <w:decimalSymbol w:val=","/>
  <w:listSeparator w:val=";"/>
  <w15:chartTrackingRefBased/>
  <w15:docId w15:val="{501FA5D8-EDD6-4044-91F4-5A22ECBE8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spacing w:after="200" w:line="276" w:lineRule="auto"/>
    </w:pPr>
    <w:rPr>
      <w:rFonts w:ascii="Calibri" w:eastAsia="Calibri" w:hAnsi="Calibri" w:cs="Calibri"/>
      <w:sz w:val="22"/>
      <w:szCs w:val="22"/>
      <w:lang w:eastAsia="zh-CN"/>
    </w:rPr>
  </w:style>
  <w:style w:type="paragraph" w:styleId="Ttulo1">
    <w:name w:val="heading 1"/>
    <w:basedOn w:val="Normal"/>
    <w:next w:val="Normal"/>
    <w:qFormat/>
    <w:pPr>
      <w:keepNext/>
      <w:widowControl w:val="0"/>
      <w:numPr>
        <w:numId w:val="1"/>
      </w:numPr>
      <w:spacing w:after="0" w:line="240" w:lineRule="auto"/>
      <w:outlineLvl w:val="0"/>
    </w:pPr>
    <w:rPr>
      <w:rFonts w:ascii="Times New Roman" w:eastAsia="Times New Roman" w:hAnsi="Times New Roman" w:cs="Times New Roman"/>
      <w:b/>
      <w:sz w:val="26"/>
      <w:szCs w:val="20"/>
    </w:rPr>
  </w:style>
  <w:style w:type="paragraph" w:styleId="Ttulo2">
    <w:name w:val="heading 2"/>
    <w:basedOn w:val="Normal"/>
    <w:next w:val="Normal"/>
    <w:qFormat/>
    <w:pPr>
      <w:keepNext/>
      <w:numPr>
        <w:ilvl w:val="1"/>
        <w:numId w:val="1"/>
      </w:numPr>
      <w:spacing w:after="0" w:line="240" w:lineRule="auto"/>
      <w:outlineLvl w:val="1"/>
    </w:pPr>
    <w:rPr>
      <w:rFonts w:ascii="Arial" w:eastAsia="Times New Roman" w:hAnsi="Arial" w:cs="Arial"/>
      <w:b/>
      <w:sz w:val="24"/>
      <w:szCs w:val="20"/>
    </w:rPr>
  </w:style>
  <w:style w:type="paragraph" w:styleId="Ttulo3">
    <w:name w:val="heading 3"/>
    <w:basedOn w:val="Normal"/>
    <w:next w:val="Normal"/>
    <w:qFormat/>
    <w:pPr>
      <w:keepNext/>
      <w:widowControl w:val="0"/>
      <w:numPr>
        <w:ilvl w:val="2"/>
        <w:numId w:val="1"/>
      </w:numPr>
      <w:spacing w:after="0" w:line="240" w:lineRule="auto"/>
      <w:jc w:val="center"/>
      <w:outlineLvl w:val="2"/>
    </w:pPr>
    <w:rPr>
      <w:rFonts w:ascii="Times New Roman" w:eastAsia="Times New Roman" w:hAnsi="Times New Roman" w:cs="Times New Roman"/>
      <w:b/>
      <w:sz w:val="24"/>
      <w:szCs w:val="20"/>
    </w:rPr>
  </w:style>
  <w:style w:type="paragraph" w:styleId="Ttulo4">
    <w:name w:val="heading 4"/>
    <w:basedOn w:val="Normal"/>
    <w:next w:val="Normal"/>
    <w:qFormat/>
    <w:pPr>
      <w:keepNext/>
      <w:widowControl w:val="0"/>
      <w:numPr>
        <w:ilvl w:val="3"/>
        <w:numId w:val="1"/>
      </w:numPr>
      <w:spacing w:after="0" w:line="240" w:lineRule="auto"/>
      <w:ind w:firstLine="1134"/>
      <w:jc w:val="both"/>
      <w:outlineLvl w:val="3"/>
    </w:pPr>
    <w:rPr>
      <w:rFonts w:ascii="Times New Roman" w:eastAsia="Times New Roman" w:hAnsi="Times New Roman" w:cs="Times New Roman"/>
      <w:sz w:val="24"/>
      <w:szCs w:val="20"/>
    </w:rPr>
  </w:style>
  <w:style w:type="paragraph" w:styleId="Ttulo5">
    <w:name w:val="heading 5"/>
    <w:basedOn w:val="Normal"/>
    <w:next w:val="Normal"/>
    <w:qFormat/>
    <w:pPr>
      <w:keepNext/>
      <w:widowControl w:val="0"/>
      <w:numPr>
        <w:ilvl w:val="4"/>
        <w:numId w:val="1"/>
      </w:numPr>
      <w:spacing w:after="0" w:line="240" w:lineRule="auto"/>
      <w:ind w:firstLine="1134"/>
      <w:jc w:val="center"/>
      <w:outlineLvl w:val="4"/>
    </w:pPr>
    <w:rPr>
      <w:rFonts w:ascii="Times New Roman" w:eastAsia="Times New Roman" w:hAnsi="Times New Roman" w:cs="Times New Roman"/>
      <w:sz w:val="24"/>
      <w:szCs w:val="20"/>
    </w:rPr>
  </w:style>
  <w:style w:type="paragraph" w:styleId="Ttulo7">
    <w:name w:val="heading 7"/>
    <w:basedOn w:val="Normal"/>
    <w:next w:val="Normal"/>
    <w:qFormat/>
    <w:pPr>
      <w:keepNext/>
      <w:widowControl w:val="0"/>
      <w:numPr>
        <w:ilvl w:val="6"/>
        <w:numId w:val="1"/>
      </w:numPr>
      <w:spacing w:after="0" w:line="240" w:lineRule="auto"/>
      <w:outlineLvl w:val="6"/>
    </w:pPr>
    <w:rPr>
      <w:rFonts w:ascii="Times New Roman" w:eastAsia="Times New Roman" w:hAnsi="Times New Roman" w:cs="Times New Roman"/>
      <w:sz w:val="24"/>
      <w:szCs w:val="20"/>
    </w:rPr>
  </w:style>
  <w:style w:type="paragraph" w:styleId="Ttulo8">
    <w:name w:val="heading 8"/>
    <w:basedOn w:val="Normal"/>
    <w:next w:val="Normal"/>
    <w:qFormat/>
    <w:pPr>
      <w:keepNext/>
      <w:widowControl w:val="0"/>
      <w:numPr>
        <w:ilvl w:val="7"/>
        <w:numId w:val="1"/>
      </w:numPr>
      <w:spacing w:after="0" w:line="240" w:lineRule="auto"/>
      <w:jc w:val="both"/>
      <w:outlineLvl w:val="7"/>
    </w:pPr>
    <w:rPr>
      <w:rFonts w:ascii="Times New Roman" w:eastAsia="Times New Roman" w:hAnsi="Times New Roman" w:cs="Times New Roman"/>
      <w:b/>
      <w:sz w:val="28"/>
      <w:szCs w:val="20"/>
    </w:rPr>
  </w:style>
  <w:style w:type="paragraph" w:styleId="Ttulo9">
    <w:name w:val="heading 9"/>
    <w:basedOn w:val="Normal"/>
    <w:next w:val="Normal"/>
    <w:qFormat/>
    <w:pPr>
      <w:keepNext/>
      <w:widowControl w:val="0"/>
      <w:numPr>
        <w:ilvl w:val="8"/>
        <w:numId w:val="1"/>
      </w:numPr>
      <w:spacing w:after="120" w:line="240" w:lineRule="auto"/>
      <w:ind w:right="17"/>
      <w:jc w:val="center"/>
      <w:outlineLvl w:val="8"/>
    </w:pPr>
    <w:rPr>
      <w:rFonts w:ascii="Times New Roman" w:eastAsia="Times New Roman" w:hAnsi="Times New Roman" w:cs="Times New Roman"/>
      <w:sz w:val="24"/>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cs="Arial" w:hint="default"/>
    </w:rPr>
  </w:style>
  <w:style w:type="character" w:customStyle="1" w:styleId="WW8Num3z0">
    <w:name w:val="WW8Num3z0"/>
    <w:rPr>
      <w:rFonts w:hint="default"/>
      <w:i w:val="0"/>
      <w:color w:val="000000"/>
    </w:rPr>
  </w:style>
  <w:style w:type="character" w:customStyle="1" w:styleId="WW8Num3z1">
    <w:name w:val="WW8Num3z1"/>
    <w:rPr>
      <w:rFonts w:hint="default"/>
      <w:i w:val="0"/>
      <w:color w:val="000000"/>
      <w:lang w:val="x-none"/>
    </w:rPr>
  </w:style>
  <w:style w:type="character" w:customStyle="1" w:styleId="WW8Num3z2">
    <w:name w:val="WW8Num3z2"/>
    <w:rPr>
      <w:rFonts w:hint="default"/>
    </w:rPr>
  </w:style>
  <w:style w:type="character" w:customStyle="1" w:styleId="WW8Num3z3">
    <w:name w:val="WW8Num3z3"/>
    <w:rPr>
      <w:rFonts w:hint="default"/>
      <w:i w:val="0"/>
    </w:rPr>
  </w:style>
  <w:style w:type="character" w:customStyle="1" w:styleId="WW8Num4z0">
    <w:name w:val="WW8Num4z0"/>
    <w:rPr>
      <w:rFonts w:ascii="Arial" w:hAnsi="Arial" w:cs="Arial" w:hint="default"/>
      <w:b/>
      <w:sz w:val="24"/>
    </w:rPr>
  </w:style>
  <w:style w:type="character" w:customStyle="1" w:styleId="WW8Num5z0">
    <w:name w:val="WW8Num5z0"/>
    <w:rPr>
      <w:rFonts w:ascii="Symbol" w:hAnsi="Symbol" w:cs="Symbol" w:hint="default"/>
    </w:rPr>
  </w:style>
  <w:style w:type="character" w:customStyle="1" w:styleId="Fontepargpadro2">
    <w:name w:val="Fonte parág. padrão2"/>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hint="default"/>
      <w:color w:val="000000"/>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i w:val="0"/>
      <w:color w:val="000000"/>
    </w:rPr>
  </w:style>
  <w:style w:type="character" w:customStyle="1" w:styleId="WW8Num7z1">
    <w:name w:val="WW8Num7z1"/>
    <w:rPr>
      <w:rFonts w:hint="default"/>
      <w:i w:val="0"/>
      <w:color w:val="000000"/>
      <w:lang w:val="x-none"/>
    </w:rPr>
  </w:style>
  <w:style w:type="character" w:customStyle="1" w:styleId="WW8Num7z2">
    <w:name w:val="WW8Num7z2"/>
    <w:rPr>
      <w:rFonts w:hint="default"/>
    </w:rPr>
  </w:style>
  <w:style w:type="character" w:customStyle="1" w:styleId="WW8Num7z3">
    <w:name w:val="WW8Num7z3"/>
    <w:rPr>
      <w:rFonts w:hint="default"/>
      <w:i w:val="0"/>
    </w:rPr>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hint="default"/>
    </w:rPr>
  </w:style>
  <w:style w:type="character" w:customStyle="1" w:styleId="WW8Num9z1">
    <w:name w:val="WW8Num9z1"/>
    <w:rPr>
      <w:rFonts w:hint="default"/>
      <w:b/>
    </w:rPr>
  </w:style>
  <w:style w:type="character" w:customStyle="1" w:styleId="WW8Num10z0">
    <w:name w:val="WW8Num10z0"/>
    <w:rPr>
      <w:rFonts w:ascii="Symbol" w:hAnsi="Symbol" w:cs="Symbol" w:hint="default"/>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1z0">
    <w:name w:val="WW8Num11z0"/>
    <w:rPr>
      <w:rFonts w:ascii="Symbol" w:hAnsi="Symbol" w:cs="Symbol" w:hint="default"/>
    </w:rPr>
  </w:style>
  <w:style w:type="character" w:customStyle="1" w:styleId="WW8Num12z0">
    <w:name w:val="WW8Num12z0"/>
    <w:rPr>
      <w:rFonts w:hint="default"/>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Arial" w:hAnsi="Arial" w:cs="Arial" w:hint="default"/>
      <w:b/>
      <w:sz w:val="24"/>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Symbol" w:hint="default"/>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WW8Num15z0">
    <w:name w:val="WW8Num15z0"/>
    <w:rPr>
      <w:rFonts w:hint="default"/>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hint="default"/>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default"/>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hint="default"/>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hint="default"/>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Arial" w:hAnsi="Arial" w:cs="Arial" w:hint="default"/>
    </w:rPr>
  </w:style>
  <w:style w:type="character" w:customStyle="1" w:styleId="WW8Num22z1">
    <w:name w:val="WW8Num22z1"/>
    <w:rPr>
      <w:rFonts w:ascii="Arial" w:hAnsi="Arial" w:cs="Arial" w:hint="default"/>
      <w:b/>
    </w:rPr>
  </w:style>
  <w:style w:type="character" w:customStyle="1" w:styleId="WW8Num22z2">
    <w:name w:val="WW8Num22z2"/>
    <w:rPr>
      <w:rFonts w:ascii="Arial" w:eastAsia="Times New Roman" w:hAnsi="Arial" w:cs="Arial"/>
      <w:b w:val="0"/>
    </w:rPr>
  </w:style>
  <w:style w:type="character" w:customStyle="1" w:styleId="Fontepargpadro1">
    <w:name w:val="Fonte parág. padrão1"/>
  </w:style>
  <w:style w:type="character" w:customStyle="1" w:styleId="Ttulo1Char">
    <w:name w:val="Título 1 Char"/>
    <w:rPr>
      <w:rFonts w:ascii="Times New Roman" w:eastAsia="Times New Roman" w:hAnsi="Times New Roman" w:cs="Times New Roman"/>
      <w:b/>
      <w:sz w:val="26"/>
    </w:rPr>
  </w:style>
  <w:style w:type="character" w:customStyle="1" w:styleId="Ttulo2Char">
    <w:name w:val="Título 2 Char"/>
    <w:rPr>
      <w:rFonts w:ascii="Arial" w:eastAsia="Times New Roman" w:hAnsi="Arial" w:cs="Arial"/>
      <w:b/>
      <w:sz w:val="24"/>
    </w:rPr>
  </w:style>
  <w:style w:type="character" w:customStyle="1" w:styleId="Ttulo3Char">
    <w:name w:val="Título 3 Char"/>
    <w:rPr>
      <w:rFonts w:ascii="Times New Roman" w:eastAsia="Times New Roman" w:hAnsi="Times New Roman" w:cs="Times New Roman"/>
      <w:b/>
      <w:sz w:val="24"/>
    </w:rPr>
  </w:style>
  <w:style w:type="character" w:customStyle="1" w:styleId="Ttulo4Char">
    <w:name w:val="Título 4 Char"/>
    <w:rPr>
      <w:rFonts w:ascii="Times New Roman" w:eastAsia="Times New Roman" w:hAnsi="Times New Roman" w:cs="Times New Roman"/>
      <w:sz w:val="24"/>
    </w:rPr>
  </w:style>
  <w:style w:type="character" w:customStyle="1" w:styleId="Ttulo5Char">
    <w:name w:val="Título 5 Char"/>
    <w:rPr>
      <w:rFonts w:ascii="Times New Roman" w:eastAsia="Times New Roman" w:hAnsi="Times New Roman" w:cs="Times New Roman"/>
      <w:sz w:val="24"/>
    </w:rPr>
  </w:style>
  <w:style w:type="character" w:customStyle="1" w:styleId="Ttulo7Char">
    <w:name w:val="Título 7 Char"/>
    <w:rPr>
      <w:rFonts w:ascii="Times New Roman" w:eastAsia="Times New Roman" w:hAnsi="Times New Roman" w:cs="Times New Roman"/>
      <w:sz w:val="24"/>
    </w:rPr>
  </w:style>
  <w:style w:type="character" w:customStyle="1" w:styleId="Ttulo8Char">
    <w:name w:val="Título 8 Char"/>
    <w:rPr>
      <w:rFonts w:ascii="Times New Roman" w:eastAsia="Times New Roman" w:hAnsi="Times New Roman" w:cs="Times New Roman"/>
      <w:b/>
      <w:sz w:val="28"/>
    </w:rPr>
  </w:style>
  <w:style w:type="character" w:customStyle="1" w:styleId="Ttulo9Char">
    <w:name w:val="Título 9 Char"/>
    <w:rPr>
      <w:rFonts w:ascii="Times New Roman" w:eastAsia="Times New Roman" w:hAnsi="Times New Roman" w:cs="Times New Roman"/>
      <w:sz w:val="24"/>
    </w:rPr>
  </w:style>
  <w:style w:type="character" w:styleId="Forte">
    <w:name w:val="Strong"/>
    <w:uiPriority w:val="22"/>
    <w:qFormat/>
    <w:rPr>
      <w:b/>
    </w:rPr>
  </w:style>
  <w:style w:type="character" w:styleId="Nmerodepgina">
    <w:name w:val="page number"/>
  </w:style>
  <w:style w:type="character" w:customStyle="1" w:styleId="CabealhoChar">
    <w:name w:val="Cabeçalho Char"/>
    <w:rPr>
      <w:rFonts w:ascii="Times New Roman" w:eastAsia="Times New Roman" w:hAnsi="Times New Roman" w:cs="Times New Roman"/>
    </w:rPr>
  </w:style>
  <w:style w:type="character" w:customStyle="1" w:styleId="RodapChar">
    <w:name w:val="Rodapé Char"/>
    <w:rPr>
      <w:rFonts w:ascii="Times New Roman" w:eastAsia="Times New Roman" w:hAnsi="Times New Roman" w:cs="Times New Roman"/>
    </w:rPr>
  </w:style>
  <w:style w:type="character" w:customStyle="1" w:styleId="TextodebaloChar">
    <w:name w:val="Texto de balão Char"/>
    <w:rPr>
      <w:rFonts w:ascii="Tahoma" w:hAnsi="Tahoma" w:cs="Tahoma"/>
      <w:sz w:val="16"/>
      <w:szCs w:val="16"/>
    </w:rPr>
  </w:style>
  <w:style w:type="character" w:customStyle="1" w:styleId="CorpodetextoChar">
    <w:name w:val="Corpo de texto Char"/>
    <w:rPr>
      <w:rFonts w:ascii="Times New Roman" w:eastAsia="Times New Roman" w:hAnsi="Times New Roman" w:cs="Times New Roman"/>
      <w:sz w:val="22"/>
    </w:rPr>
  </w:style>
  <w:style w:type="character" w:styleId="Hyperlink">
    <w:name w:val="Hyperlink"/>
    <w:rPr>
      <w:color w:val="0000FF"/>
      <w:u w:val="single"/>
    </w:rPr>
  </w:style>
  <w:style w:type="character" w:customStyle="1" w:styleId="Recuodecorpodetexto3Char">
    <w:name w:val="Recuo de corpo de texto 3 Char"/>
    <w:rPr>
      <w:sz w:val="16"/>
      <w:szCs w:val="16"/>
    </w:rPr>
  </w:style>
  <w:style w:type="character" w:customStyle="1" w:styleId="TextodenotaderodapChar">
    <w:name w:val="Texto de nota de rodapé Char"/>
  </w:style>
  <w:style w:type="character" w:customStyle="1" w:styleId="Caracteresdenotaderodap">
    <w:name w:val="Caracteres de nota de rodapé"/>
    <w:rPr>
      <w:vertAlign w:val="superscript"/>
    </w:rPr>
  </w:style>
  <w:style w:type="character" w:customStyle="1" w:styleId="TextodenotadefimChar">
    <w:name w:val="Texto de nota de fim Char"/>
  </w:style>
  <w:style w:type="character" w:customStyle="1" w:styleId="Caracteresdenotadefim">
    <w:name w:val="Caracteres de nota de fim"/>
    <w:rPr>
      <w:vertAlign w:val="superscript"/>
    </w:rPr>
  </w:style>
  <w:style w:type="character" w:customStyle="1" w:styleId="t1">
    <w:name w:val="t1"/>
  </w:style>
  <w:style w:type="character" w:styleId="nfase">
    <w:name w:val="Emphasis"/>
    <w:qFormat/>
    <w:rPr>
      <w:i/>
      <w:iCs/>
    </w:rPr>
  </w:style>
  <w:style w:type="paragraph" w:customStyle="1" w:styleId="Heading">
    <w:name w:val="Heading"/>
    <w:basedOn w:val="Normal"/>
    <w:next w:val="Corpodetexto"/>
    <w:pPr>
      <w:keepNext/>
      <w:spacing w:before="240" w:after="120"/>
    </w:pPr>
    <w:rPr>
      <w:rFonts w:ascii="Liberation Sans" w:eastAsia="Microsoft YaHei" w:hAnsi="Liberation Sans" w:cs="Mangal"/>
      <w:sz w:val="28"/>
      <w:szCs w:val="28"/>
    </w:rPr>
  </w:style>
  <w:style w:type="paragraph" w:styleId="Corpodetexto">
    <w:name w:val="Body Text"/>
    <w:basedOn w:val="Normal"/>
    <w:pPr>
      <w:spacing w:after="0" w:line="240" w:lineRule="auto"/>
      <w:ind w:right="-136"/>
      <w:jc w:val="both"/>
    </w:pPr>
    <w:rPr>
      <w:rFonts w:ascii="Times New Roman" w:eastAsia="Times New Roman" w:hAnsi="Times New Roman" w:cs="Times New Roman"/>
      <w:szCs w:val="20"/>
    </w:rPr>
  </w:style>
  <w:style w:type="paragraph" w:styleId="Lista">
    <w:name w:val="List"/>
    <w:basedOn w:val="Corpodetexto"/>
    <w:rPr>
      <w:rFonts w:cs="Lucida Sans"/>
    </w:rPr>
  </w:style>
  <w:style w:type="paragraph" w:styleId="Legenda">
    <w:name w:val="caption"/>
    <w:basedOn w:val="Normal"/>
    <w:qFormat/>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Ttulo20">
    <w:name w:val="Título2"/>
    <w:basedOn w:val="Normal"/>
    <w:next w:val="Corpodetexto"/>
    <w:pPr>
      <w:keepNext/>
      <w:spacing w:before="240" w:after="120"/>
    </w:pPr>
    <w:rPr>
      <w:rFonts w:ascii="Liberation Sans" w:eastAsia="Microsoft YaHei" w:hAnsi="Liberation Sans" w:cs="Lucida Sans"/>
      <w:sz w:val="28"/>
      <w:szCs w:val="28"/>
    </w:rPr>
  </w:style>
  <w:style w:type="paragraph" w:customStyle="1" w:styleId="Legenda1">
    <w:name w:val="Legenda1"/>
    <w:basedOn w:val="Normal"/>
    <w:pPr>
      <w:suppressLineNumbers/>
      <w:spacing w:before="120" w:after="120"/>
    </w:pPr>
    <w:rPr>
      <w:rFonts w:cs="Lucida Sans"/>
      <w:i/>
      <w:iCs/>
      <w:sz w:val="24"/>
      <w:szCs w:val="24"/>
    </w:rPr>
  </w:style>
  <w:style w:type="paragraph" w:customStyle="1" w:styleId="ndice">
    <w:name w:val="Índice"/>
    <w:basedOn w:val="Normal"/>
    <w:pPr>
      <w:suppressLineNumbers/>
    </w:pPr>
    <w:rPr>
      <w:rFonts w:cs="Lucida Sans"/>
    </w:rPr>
  </w:style>
  <w:style w:type="paragraph" w:customStyle="1" w:styleId="Ttulo10">
    <w:name w:val="Título1"/>
    <w:basedOn w:val="Normal"/>
    <w:next w:val="Corpodetexto"/>
    <w:pPr>
      <w:keepNext/>
      <w:spacing w:before="240" w:after="120"/>
    </w:pPr>
    <w:rPr>
      <w:rFonts w:ascii="Liberation Sans" w:eastAsia="Microsoft YaHei" w:hAnsi="Liberation Sans" w:cs="Lucida Sans"/>
      <w:sz w:val="28"/>
      <w:szCs w:val="28"/>
    </w:rPr>
  </w:style>
  <w:style w:type="paragraph" w:customStyle="1" w:styleId="CabealhoeRodap">
    <w:name w:val="Cabeçalho e Rodapé"/>
    <w:basedOn w:val="Normal"/>
    <w:pPr>
      <w:suppressLineNumbers/>
      <w:tabs>
        <w:tab w:val="center" w:pos="4819"/>
        <w:tab w:val="right" w:pos="9638"/>
      </w:tabs>
    </w:pPr>
  </w:style>
  <w:style w:type="paragraph" w:customStyle="1" w:styleId="HeaderandFooter">
    <w:name w:val="Header and Footer"/>
    <w:basedOn w:val="Normal"/>
    <w:pPr>
      <w:suppressLineNumbers/>
      <w:tabs>
        <w:tab w:val="center" w:pos="4819"/>
        <w:tab w:val="right" w:pos="9638"/>
      </w:tabs>
    </w:pPr>
  </w:style>
  <w:style w:type="paragraph" w:styleId="Cabealho">
    <w:name w:val="header"/>
    <w:basedOn w:val="Normal"/>
    <w:pPr>
      <w:tabs>
        <w:tab w:val="center" w:pos="4419"/>
        <w:tab w:val="right" w:pos="8838"/>
      </w:tabs>
      <w:spacing w:after="0" w:line="240" w:lineRule="auto"/>
    </w:pPr>
    <w:rPr>
      <w:rFonts w:ascii="Times New Roman" w:eastAsia="Times New Roman" w:hAnsi="Times New Roman" w:cs="Times New Roman"/>
      <w:sz w:val="20"/>
      <w:szCs w:val="20"/>
    </w:rPr>
  </w:style>
  <w:style w:type="paragraph" w:styleId="Rodap">
    <w:name w:val="footer"/>
    <w:basedOn w:val="Normal"/>
    <w:pPr>
      <w:widowControl w:val="0"/>
      <w:tabs>
        <w:tab w:val="center" w:pos="4419"/>
        <w:tab w:val="right" w:pos="8838"/>
      </w:tabs>
      <w:spacing w:after="0" w:line="240" w:lineRule="auto"/>
    </w:pPr>
    <w:rPr>
      <w:rFonts w:ascii="Times New Roman" w:eastAsia="Times New Roman" w:hAnsi="Times New Roman" w:cs="Times New Roman"/>
      <w:sz w:val="20"/>
      <w:szCs w:val="20"/>
    </w:rPr>
  </w:style>
  <w:style w:type="paragraph" w:customStyle="1" w:styleId="PADRAO">
    <w:name w:val="PADRAO"/>
    <w:basedOn w:val="Normal"/>
    <w:pPr>
      <w:autoSpaceDE w:val="0"/>
      <w:spacing w:after="0" w:line="240" w:lineRule="auto"/>
      <w:jc w:val="both"/>
    </w:pPr>
    <w:rPr>
      <w:rFonts w:ascii="Tms Rmn" w:eastAsia="Times New Roman" w:hAnsi="Tms Rmn" w:cs="Tms Rmn"/>
      <w:sz w:val="20"/>
      <w:szCs w:val="20"/>
    </w:rPr>
  </w:style>
  <w:style w:type="paragraph" w:styleId="PargrafodaLista">
    <w:name w:val="List Paragraph"/>
    <w:basedOn w:val="Normal"/>
    <w:qFormat/>
    <w:pPr>
      <w:widowControl w:val="0"/>
      <w:spacing w:after="0" w:line="240" w:lineRule="auto"/>
      <w:ind w:left="720"/>
      <w:contextualSpacing/>
    </w:pPr>
    <w:rPr>
      <w:rFonts w:ascii="Times New Roman" w:eastAsia="Times New Roman" w:hAnsi="Times New Roman" w:cs="Times New Roman"/>
      <w:sz w:val="20"/>
      <w:szCs w:val="20"/>
    </w:rPr>
  </w:style>
  <w:style w:type="paragraph" w:styleId="Textodebalo">
    <w:name w:val="Balloon Text"/>
    <w:basedOn w:val="Normal"/>
    <w:pPr>
      <w:spacing w:after="0" w:line="240" w:lineRule="auto"/>
    </w:pPr>
    <w:rPr>
      <w:rFonts w:ascii="Tahoma" w:hAnsi="Tahoma" w:cs="Tahoma"/>
      <w:sz w:val="16"/>
      <w:szCs w:val="16"/>
    </w:rPr>
  </w:style>
  <w:style w:type="paragraph" w:customStyle="1" w:styleId="Corpodetexto31">
    <w:name w:val="Corpo de texto 31"/>
    <w:basedOn w:val="Normal"/>
    <w:pPr>
      <w:widowControl w:val="0"/>
      <w:spacing w:after="0" w:line="240" w:lineRule="auto"/>
      <w:jc w:val="both"/>
    </w:pPr>
    <w:rPr>
      <w:rFonts w:ascii="Times New Roman" w:eastAsia="Times New Roman" w:hAnsi="Times New Roman" w:cs="Times New Roman"/>
      <w:sz w:val="24"/>
      <w:szCs w:val="20"/>
    </w:rPr>
  </w:style>
  <w:style w:type="paragraph" w:customStyle="1" w:styleId="Recuodecorpodetexto31">
    <w:name w:val="Recuo de corpo de texto 31"/>
    <w:basedOn w:val="Normal"/>
    <w:pPr>
      <w:spacing w:after="120"/>
      <w:ind w:left="283"/>
    </w:pPr>
    <w:rPr>
      <w:sz w:val="16"/>
      <w:szCs w:val="16"/>
    </w:rPr>
  </w:style>
  <w:style w:type="paragraph" w:styleId="Textodenotaderodap">
    <w:name w:val="footnote text"/>
    <w:basedOn w:val="Normal"/>
    <w:rPr>
      <w:sz w:val="20"/>
      <w:szCs w:val="20"/>
    </w:rPr>
  </w:style>
  <w:style w:type="paragraph" w:styleId="NormalWeb">
    <w:name w:val="Normal (Web)"/>
    <w:basedOn w:val="Normal"/>
    <w:uiPriority w:val="99"/>
    <w:pPr>
      <w:spacing w:before="280" w:after="280" w:line="240" w:lineRule="auto"/>
    </w:pPr>
    <w:rPr>
      <w:rFonts w:ascii="Times New Roman" w:eastAsia="Times New Roman" w:hAnsi="Times New Roman" w:cs="Times New Roman"/>
      <w:sz w:val="24"/>
      <w:szCs w:val="24"/>
    </w:rPr>
  </w:style>
  <w:style w:type="paragraph" w:styleId="Textodenotadefim">
    <w:name w:val="endnote text"/>
    <w:basedOn w:val="Normal"/>
    <w:rPr>
      <w:sz w:val="20"/>
      <w:szCs w:val="20"/>
    </w:rPr>
  </w:style>
  <w:style w:type="paragraph" w:customStyle="1" w:styleId="Default">
    <w:name w:val="Default"/>
    <w:pPr>
      <w:suppressAutoHyphens/>
      <w:autoSpaceDE w:val="0"/>
    </w:pPr>
    <w:rPr>
      <w:rFonts w:ascii="Arial" w:eastAsia="Calibri" w:hAnsi="Arial" w:cs="Arial"/>
      <w:color w:val="000000"/>
      <w:sz w:val="24"/>
      <w:szCs w:val="24"/>
      <w:lang w:eastAsia="zh-CN"/>
    </w:rPr>
  </w:style>
  <w:style w:type="paragraph" w:customStyle="1" w:styleId="texto1">
    <w:name w:val="texto1"/>
    <w:basedOn w:val="Normal"/>
    <w:pPr>
      <w:spacing w:before="280" w:after="280" w:line="240" w:lineRule="auto"/>
    </w:pPr>
    <w:rPr>
      <w:rFonts w:ascii="Times New Roman" w:eastAsia="Times New Roman" w:hAnsi="Times New Roman" w:cs="Times New Roman"/>
      <w:sz w:val="24"/>
      <w:szCs w:val="24"/>
    </w:rPr>
  </w:style>
  <w:style w:type="paragraph" w:customStyle="1" w:styleId="justificadoportal">
    <w:name w:val="justificadoportal"/>
    <w:basedOn w:val="Normal"/>
    <w:pPr>
      <w:spacing w:before="280" w:after="280" w:line="240" w:lineRule="auto"/>
    </w:pPr>
    <w:rPr>
      <w:rFonts w:ascii="Times New Roman" w:eastAsia="Times New Roman" w:hAnsi="Times New Roman" w:cs="Times New Roman"/>
      <w:sz w:val="24"/>
      <w:szCs w:val="24"/>
    </w:rPr>
  </w:style>
  <w:style w:type="paragraph" w:customStyle="1" w:styleId="Nivel1">
    <w:name w:val="Nivel1"/>
    <w:basedOn w:val="Ttulo1"/>
    <w:pPr>
      <w:keepLines/>
      <w:widowControl/>
      <w:numPr>
        <w:numId w:val="3"/>
      </w:numPr>
      <w:suppressAutoHyphens w:val="0"/>
      <w:spacing w:before="480" w:line="276" w:lineRule="auto"/>
      <w:jc w:val="both"/>
    </w:pPr>
    <w:rPr>
      <w:rFonts w:ascii="Arial" w:eastAsia="MS Gothic" w:hAnsi="Arial" w:cs="Arial"/>
      <w:color w:val="000000"/>
      <w:sz w:val="20"/>
    </w:rPr>
  </w:style>
  <w:style w:type="paragraph" w:customStyle="1" w:styleId="Contedodatabela">
    <w:name w:val="Conteúdo da tabela"/>
    <w:basedOn w:val="Normal"/>
    <w:pPr>
      <w:widowControl w:val="0"/>
      <w:suppressLineNumbers/>
    </w:pPr>
  </w:style>
  <w:style w:type="paragraph" w:customStyle="1" w:styleId="Ttulodetabela">
    <w:name w:val="Título de tabela"/>
    <w:basedOn w:val="Contedodatabela"/>
    <w:pPr>
      <w:jc w:val="center"/>
    </w:pPr>
    <w:rPr>
      <w:b/>
      <w:bCs/>
    </w:rPr>
  </w:style>
  <w:style w:type="paragraph" w:customStyle="1" w:styleId="Contedodoquadro">
    <w:name w:val="Conteúdo do quadro"/>
    <w:basedOn w:val="Normal"/>
  </w:style>
  <w:style w:type="paragraph" w:customStyle="1" w:styleId="TableContents">
    <w:name w:val="Table Contents"/>
    <w:basedOn w:val="Normal"/>
    <w:pPr>
      <w:widowControl w:val="0"/>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Normal"/>
  </w:style>
  <w:style w:type="character" w:customStyle="1" w:styleId="markedcontent">
    <w:name w:val="markedcontent"/>
    <w:rsid w:val="003561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5056180">
      <w:bodyDiv w:val="1"/>
      <w:marLeft w:val="0"/>
      <w:marRight w:val="0"/>
      <w:marTop w:val="0"/>
      <w:marBottom w:val="0"/>
      <w:divBdr>
        <w:top w:val="none" w:sz="0" w:space="0" w:color="auto"/>
        <w:left w:val="none" w:sz="0" w:space="0" w:color="auto"/>
        <w:bottom w:val="none" w:sz="0" w:space="0" w:color="auto"/>
        <w:right w:val="none" w:sz="0" w:space="0" w:color="auto"/>
      </w:divBdr>
    </w:div>
    <w:div w:id="564031085">
      <w:bodyDiv w:val="1"/>
      <w:marLeft w:val="0"/>
      <w:marRight w:val="0"/>
      <w:marTop w:val="0"/>
      <w:marBottom w:val="0"/>
      <w:divBdr>
        <w:top w:val="none" w:sz="0" w:space="0" w:color="auto"/>
        <w:left w:val="none" w:sz="0" w:space="0" w:color="auto"/>
        <w:bottom w:val="none" w:sz="0" w:space="0" w:color="auto"/>
        <w:right w:val="none" w:sz="0" w:space="0" w:color="auto"/>
      </w:divBdr>
    </w:div>
    <w:div w:id="779378125">
      <w:bodyDiv w:val="1"/>
      <w:marLeft w:val="0"/>
      <w:marRight w:val="0"/>
      <w:marTop w:val="0"/>
      <w:marBottom w:val="0"/>
      <w:divBdr>
        <w:top w:val="none" w:sz="0" w:space="0" w:color="auto"/>
        <w:left w:val="none" w:sz="0" w:space="0" w:color="auto"/>
        <w:bottom w:val="none" w:sz="0" w:space="0" w:color="auto"/>
        <w:right w:val="none" w:sz="0" w:space="0" w:color="auto"/>
      </w:divBdr>
    </w:div>
    <w:div w:id="1021737209">
      <w:bodyDiv w:val="1"/>
      <w:marLeft w:val="0"/>
      <w:marRight w:val="0"/>
      <w:marTop w:val="0"/>
      <w:marBottom w:val="0"/>
      <w:divBdr>
        <w:top w:val="none" w:sz="0" w:space="0" w:color="auto"/>
        <w:left w:val="none" w:sz="0" w:space="0" w:color="auto"/>
        <w:bottom w:val="none" w:sz="0" w:space="0" w:color="auto"/>
        <w:right w:val="none" w:sz="0" w:space="0" w:color="auto"/>
      </w:divBdr>
    </w:div>
    <w:div w:id="1036655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8</Pages>
  <Words>2856</Words>
  <Characters>15425</Characters>
  <Application>Microsoft Office Word</Application>
  <DocSecurity>0</DocSecurity>
  <Lines>128</Lines>
  <Paragraphs>36</Paragraphs>
  <ScaleCrop>false</ScaleCrop>
  <HeadingPairs>
    <vt:vector size="2" baseType="variant">
      <vt:variant>
        <vt:lpstr>Título</vt:lpstr>
      </vt:variant>
      <vt:variant>
        <vt:i4>1</vt:i4>
      </vt:variant>
    </vt:vector>
  </HeadingPairs>
  <TitlesOfParts>
    <vt:vector size="1" baseType="lpstr">
      <vt:lpstr/>
    </vt:vector>
  </TitlesOfParts>
  <Company>Tribunal Regional do Trabalho da 9ª Região</Company>
  <LinksUpToDate>false</LinksUpToDate>
  <CharactersWithSpaces>18245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Magno Eduardo De Moraes</dc:creator>
  <cp:keywords/>
  <cp:lastModifiedBy>Alexandro Furquim</cp:lastModifiedBy>
  <cp:revision>6</cp:revision>
  <cp:lastPrinted>1995-11-21T20:41:00Z</cp:lastPrinted>
  <dcterms:created xsi:type="dcterms:W3CDTF">2022-04-28T14:20:00Z</dcterms:created>
  <dcterms:modified xsi:type="dcterms:W3CDTF">2022-06-29T18:44:00Z</dcterms:modified>
</cp:coreProperties>
</file>